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5311A">
      <w:pPr>
        <w:tabs>
          <w:tab w:val="left" w:pos="6996"/>
        </w:tabs>
        <w:snapToGrid w:val="0"/>
        <w:spacing w:before="312" w:beforeLines="100" w:after="312" w:afterLines="100"/>
        <w:jc w:val="center"/>
        <w:rPr>
          <w:rFonts w:hint="eastAsia" w:ascii="黑体" w:hAnsi="黑体" w:eastAsia="黑体"/>
          <w:b/>
          <w:sz w:val="36"/>
          <w:szCs w:val="36"/>
        </w:rPr>
      </w:pPr>
      <w:r>
        <w:rPr>
          <w:rFonts w:hint="eastAsia" w:ascii="黑体" w:hAnsi="黑体" w:eastAsia="黑体"/>
          <w:b/>
          <w:sz w:val="36"/>
          <w:szCs w:val="36"/>
        </w:rPr>
        <w:t>中国科学院兰州查新咨询中心科技查新委托单</w:t>
      </w:r>
    </w:p>
    <w:p w14:paraId="25884AE0">
      <w:pPr>
        <w:tabs>
          <w:tab w:val="left" w:pos="6996"/>
        </w:tabs>
        <w:snapToGrid w:val="0"/>
        <w:spacing w:line="360" w:lineRule="auto"/>
        <w:jc w:val="left"/>
        <w:rPr>
          <w:rFonts w:hint="eastAsia" w:ascii="宋体" w:hAnsi="宋体"/>
          <w:bCs/>
          <w:color w:val="FF0000"/>
          <w:sz w:val="24"/>
        </w:rPr>
      </w:pPr>
      <w:r>
        <w:rPr>
          <w:rFonts w:hint="eastAsia" w:ascii="宋体" w:hAnsi="宋体"/>
          <w:bCs/>
          <w:color w:val="FF0000"/>
          <w:sz w:val="24"/>
        </w:rPr>
        <w:t>查新须知：</w:t>
      </w:r>
    </w:p>
    <w:p w14:paraId="1C8BE3A9">
      <w:pPr>
        <w:tabs>
          <w:tab w:val="left" w:pos="6996"/>
        </w:tabs>
        <w:snapToGrid w:val="0"/>
        <w:spacing w:line="360" w:lineRule="auto"/>
        <w:ind w:firstLine="480" w:firstLineChars="200"/>
        <w:jc w:val="left"/>
        <w:rPr>
          <w:rFonts w:ascii="宋体" w:hAnsi="宋体"/>
          <w:bCs/>
          <w:color w:val="FF0000"/>
          <w:sz w:val="24"/>
        </w:rPr>
      </w:pPr>
      <w:r>
        <w:rPr>
          <w:rFonts w:hint="eastAsia" w:ascii="宋体" w:hAnsi="宋体"/>
          <w:bCs/>
          <w:color w:val="FF0000"/>
          <w:sz w:val="24"/>
        </w:rPr>
        <w:t>查新委托流程：</w:t>
      </w:r>
      <w:r>
        <w:rPr>
          <w:rFonts w:ascii="宋体" w:hAnsi="宋体"/>
          <w:bCs/>
          <w:color w:val="FF0000"/>
          <w:sz w:val="24"/>
        </w:rPr>
        <w:fldChar w:fldCharType="begin"/>
      </w:r>
      <w:r>
        <w:rPr>
          <w:rFonts w:ascii="宋体" w:hAnsi="宋体"/>
          <w:bCs/>
          <w:color w:val="FF0000"/>
          <w:sz w:val="24"/>
        </w:rPr>
        <w:instrText xml:space="preserve"> </w:instrText>
      </w:r>
      <w:r>
        <w:rPr>
          <w:rFonts w:hint="eastAsia" w:ascii="宋体" w:hAnsi="宋体"/>
          <w:bCs/>
          <w:color w:val="FF0000"/>
          <w:sz w:val="24"/>
        </w:rPr>
        <w:instrText xml:space="preserve">= 1 \* GB3</w:instrText>
      </w:r>
      <w:r>
        <w:rPr>
          <w:rFonts w:ascii="宋体" w:hAnsi="宋体"/>
          <w:bCs/>
          <w:color w:val="FF0000"/>
          <w:sz w:val="24"/>
        </w:rPr>
        <w:instrText xml:space="preserve"> </w:instrText>
      </w:r>
      <w:r>
        <w:rPr>
          <w:rFonts w:ascii="宋体" w:hAnsi="宋体"/>
          <w:bCs/>
          <w:color w:val="FF0000"/>
          <w:sz w:val="24"/>
        </w:rPr>
        <w:fldChar w:fldCharType="separate"/>
      </w:r>
      <w:r>
        <w:rPr>
          <w:rFonts w:hint="eastAsia" w:ascii="宋体" w:hAnsi="宋体"/>
          <w:bCs/>
          <w:color w:val="FF0000"/>
          <w:sz w:val="24"/>
        </w:rPr>
        <w:t>①</w:t>
      </w:r>
      <w:r>
        <w:rPr>
          <w:rFonts w:ascii="宋体" w:hAnsi="宋体"/>
          <w:bCs/>
          <w:color w:val="FF0000"/>
          <w:sz w:val="24"/>
        </w:rPr>
        <w:fldChar w:fldCharType="end"/>
      </w:r>
      <w:r>
        <w:rPr>
          <w:rFonts w:hint="eastAsia" w:ascii="宋体" w:hAnsi="宋体"/>
          <w:bCs/>
          <w:color w:val="FF0000"/>
          <w:sz w:val="24"/>
        </w:rPr>
        <w:t>请按</w:t>
      </w:r>
      <w:r>
        <w:rPr>
          <w:rFonts w:ascii="宋体" w:hAnsi="宋体"/>
          <w:bCs/>
          <w:color w:val="FF0000"/>
          <w:sz w:val="24"/>
        </w:rPr>
        <w:t>要求</w:t>
      </w:r>
      <w:r>
        <w:rPr>
          <w:rFonts w:hint="eastAsia" w:ascii="宋体" w:hAnsi="宋体"/>
          <w:bCs/>
          <w:color w:val="FF0000"/>
          <w:sz w:val="24"/>
        </w:rPr>
        <w:t>填写“查新委托单”，以“姓名-单位-报告名称”命名word文档；</w:t>
      </w:r>
      <w:r>
        <w:rPr>
          <w:rFonts w:ascii="宋体" w:hAnsi="宋体"/>
          <w:bCs/>
          <w:color w:val="FF0000"/>
          <w:sz w:val="24"/>
        </w:rPr>
        <w:fldChar w:fldCharType="begin"/>
      </w:r>
      <w:r>
        <w:rPr>
          <w:rFonts w:ascii="宋体" w:hAnsi="宋体"/>
          <w:bCs/>
          <w:color w:val="FF0000"/>
          <w:sz w:val="24"/>
        </w:rPr>
        <w:instrText xml:space="preserve"> </w:instrText>
      </w:r>
      <w:r>
        <w:rPr>
          <w:rFonts w:hint="eastAsia" w:ascii="宋体" w:hAnsi="宋体"/>
          <w:bCs/>
          <w:color w:val="FF0000"/>
          <w:sz w:val="24"/>
        </w:rPr>
        <w:instrText xml:space="preserve">= 2 \* GB3</w:instrText>
      </w:r>
      <w:r>
        <w:rPr>
          <w:rFonts w:ascii="宋体" w:hAnsi="宋体"/>
          <w:bCs/>
          <w:color w:val="FF0000"/>
          <w:sz w:val="24"/>
        </w:rPr>
        <w:instrText xml:space="preserve"> </w:instrText>
      </w:r>
      <w:r>
        <w:rPr>
          <w:rFonts w:ascii="宋体" w:hAnsi="宋体"/>
          <w:bCs/>
          <w:color w:val="FF0000"/>
          <w:sz w:val="24"/>
        </w:rPr>
        <w:fldChar w:fldCharType="separate"/>
      </w:r>
      <w:r>
        <w:rPr>
          <w:rFonts w:hint="eastAsia" w:ascii="宋体" w:hAnsi="宋体"/>
          <w:bCs/>
          <w:color w:val="FF0000"/>
          <w:sz w:val="24"/>
        </w:rPr>
        <w:t>②</w:t>
      </w:r>
      <w:r>
        <w:rPr>
          <w:rFonts w:ascii="宋体" w:hAnsi="宋体"/>
          <w:bCs/>
          <w:color w:val="FF0000"/>
          <w:sz w:val="24"/>
        </w:rPr>
        <w:fldChar w:fldCharType="end"/>
      </w:r>
      <w:r>
        <w:rPr>
          <w:rFonts w:hint="eastAsia" w:ascii="宋体" w:hAnsi="宋体"/>
          <w:bCs/>
          <w:color w:val="FF0000"/>
          <w:sz w:val="24"/>
          <w:lang w:val="en-US" w:eastAsia="zh-CN"/>
        </w:rPr>
        <w:t>注册</w:t>
      </w:r>
      <w:r>
        <w:rPr>
          <w:rFonts w:hint="eastAsia" w:ascii="宋体" w:hAnsi="宋体"/>
          <w:bCs/>
          <w:color w:val="FF0000"/>
          <w:sz w:val="24"/>
        </w:rPr>
        <w:t>“中国科学院兰州查新咨询中心查新平台”（http://chaxin.llas.ac.cn），</w:t>
      </w:r>
      <w:r>
        <w:rPr>
          <w:rFonts w:hint="eastAsia" w:ascii="宋体" w:hAnsi="宋体"/>
          <w:bCs/>
          <w:color w:val="FF0000"/>
          <w:sz w:val="24"/>
          <w:lang w:val="en-US" w:eastAsia="zh-CN"/>
        </w:rPr>
        <w:t>并登录</w:t>
      </w:r>
      <w:r>
        <w:rPr>
          <w:rFonts w:hint="eastAsia" w:ascii="宋体" w:hAnsi="宋体"/>
          <w:bCs/>
          <w:color w:val="FF0000"/>
          <w:sz w:val="24"/>
        </w:rPr>
        <w:t>平台账号</w:t>
      </w:r>
      <w:r>
        <w:rPr>
          <w:rFonts w:hint="eastAsia" w:ascii="宋体" w:hAnsi="宋体"/>
          <w:bCs/>
          <w:color w:val="FF0000"/>
          <w:sz w:val="24"/>
          <w:lang w:val="en-US" w:eastAsia="zh-CN"/>
        </w:rPr>
        <w:t>进行提交</w:t>
      </w:r>
      <w:r>
        <w:rPr>
          <w:rFonts w:hint="eastAsia" w:ascii="宋体" w:hAnsi="宋体"/>
          <w:bCs/>
          <w:color w:val="FF0000"/>
          <w:sz w:val="24"/>
        </w:rPr>
        <w:t>；</w:t>
      </w:r>
      <w:r>
        <w:rPr>
          <w:rFonts w:ascii="宋体" w:hAnsi="宋体"/>
          <w:bCs/>
          <w:color w:val="FF0000"/>
          <w:sz w:val="24"/>
        </w:rPr>
        <w:fldChar w:fldCharType="begin"/>
      </w:r>
      <w:r>
        <w:rPr>
          <w:rFonts w:ascii="宋体" w:hAnsi="宋体"/>
          <w:bCs/>
          <w:color w:val="FF0000"/>
          <w:sz w:val="24"/>
        </w:rPr>
        <w:instrText xml:space="preserve"> </w:instrText>
      </w:r>
      <w:r>
        <w:rPr>
          <w:rFonts w:hint="eastAsia" w:ascii="宋体" w:hAnsi="宋体"/>
          <w:bCs/>
          <w:color w:val="FF0000"/>
          <w:sz w:val="24"/>
        </w:rPr>
        <w:instrText xml:space="preserve">= 3 \* GB3</w:instrText>
      </w:r>
      <w:r>
        <w:rPr>
          <w:rFonts w:ascii="宋体" w:hAnsi="宋体"/>
          <w:bCs/>
          <w:color w:val="FF0000"/>
          <w:sz w:val="24"/>
        </w:rPr>
        <w:instrText xml:space="preserve"> </w:instrText>
      </w:r>
      <w:r>
        <w:rPr>
          <w:rFonts w:ascii="宋体" w:hAnsi="宋体"/>
          <w:bCs/>
          <w:color w:val="FF0000"/>
          <w:sz w:val="24"/>
        </w:rPr>
        <w:fldChar w:fldCharType="separate"/>
      </w:r>
      <w:r>
        <w:rPr>
          <w:rFonts w:hint="eastAsia" w:ascii="宋体" w:hAnsi="宋体"/>
          <w:bCs/>
          <w:color w:val="FF0000"/>
          <w:sz w:val="24"/>
        </w:rPr>
        <w:t>③</w:t>
      </w:r>
      <w:r>
        <w:rPr>
          <w:rFonts w:ascii="宋体" w:hAnsi="宋体"/>
          <w:bCs/>
          <w:color w:val="FF0000"/>
          <w:sz w:val="24"/>
        </w:rPr>
        <w:fldChar w:fldCharType="end"/>
      </w:r>
      <w:r>
        <w:rPr>
          <w:rFonts w:hint="eastAsia" w:ascii="宋体" w:hAnsi="宋体"/>
          <w:bCs/>
          <w:color w:val="FF0000"/>
          <w:sz w:val="24"/>
        </w:rPr>
        <w:t>上传“查新委托单”至查新平台，通过查新平台进行查新委托（查新平台用户帮助手册见网站“公告及下载”）。</w:t>
      </w:r>
    </w:p>
    <w:p w14:paraId="3E943F53">
      <w:pPr>
        <w:tabs>
          <w:tab w:val="left" w:pos="6996"/>
        </w:tabs>
        <w:snapToGrid w:val="0"/>
        <w:spacing w:line="360" w:lineRule="auto"/>
        <w:ind w:firstLine="480" w:firstLineChars="200"/>
        <w:jc w:val="left"/>
        <w:rPr>
          <w:rFonts w:hint="eastAsia" w:ascii="宋体" w:hAnsi="宋体"/>
          <w:bCs/>
          <w:color w:val="FF0000"/>
          <w:sz w:val="24"/>
        </w:rPr>
      </w:pPr>
      <w:r>
        <w:rPr>
          <w:rFonts w:hint="eastAsia" w:ascii="宋体" w:hAnsi="宋体"/>
          <w:bCs/>
          <w:color w:val="FF0000"/>
          <w:sz w:val="24"/>
        </w:rPr>
        <w:t>本文档附件为收费标准与缴费发票须知，便于您进行缴费等后续操作。如您在查新检索过程中有</w:t>
      </w:r>
      <w:r>
        <w:rPr>
          <w:rFonts w:ascii="宋体" w:hAnsi="宋体"/>
          <w:bCs/>
          <w:color w:val="FF0000"/>
          <w:sz w:val="24"/>
        </w:rPr>
        <w:t>任何疑问，</w:t>
      </w:r>
      <w:r>
        <w:rPr>
          <w:rFonts w:hint="eastAsia" w:ascii="宋体" w:hAnsi="宋体"/>
          <w:bCs/>
          <w:color w:val="FF0000"/>
          <w:sz w:val="24"/>
        </w:rPr>
        <w:t>可随时随地联系我们，E</w:t>
      </w:r>
      <w:r>
        <w:rPr>
          <w:rFonts w:ascii="宋体" w:hAnsi="宋体"/>
          <w:bCs/>
          <w:color w:val="FF0000"/>
          <w:sz w:val="24"/>
        </w:rPr>
        <w:t>mail</w:t>
      </w:r>
      <w:r>
        <w:rPr>
          <w:rFonts w:hint="eastAsia" w:ascii="宋体" w:hAnsi="宋体"/>
          <w:bCs/>
          <w:color w:val="FF0000"/>
          <w:sz w:val="24"/>
        </w:rPr>
        <w:t>：jiansuo@lzb.ac.cn，电话：0</w:t>
      </w:r>
      <w:r>
        <w:rPr>
          <w:rFonts w:ascii="宋体" w:hAnsi="宋体"/>
          <w:bCs/>
          <w:color w:val="FF0000"/>
          <w:sz w:val="24"/>
        </w:rPr>
        <w:t>931-8274297</w:t>
      </w:r>
      <w:r>
        <w:rPr>
          <w:rFonts w:hint="eastAsia" w:ascii="宋体" w:hAnsi="宋体"/>
          <w:bCs/>
          <w:color w:val="FF0000"/>
          <w:sz w:val="24"/>
        </w:rPr>
        <w:t>，QQ服务群：852151684，我们将竭诚为您提供优质的查新检索服务</w:t>
      </w:r>
    </w:p>
    <w:p w14:paraId="35EE5DD7">
      <w:pPr>
        <w:tabs>
          <w:tab w:val="left" w:pos="6996"/>
        </w:tabs>
        <w:snapToGrid w:val="0"/>
        <w:spacing w:line="360" w:lineRule="auto"/>
        <w:ind w:firstLine="482" w:firstLineChars="200"/>
        <w:jc w:val="left"/>
        <w:rPr>
          <w:rFonts w:hint="eastAsia" w:ascii="宋体" w:hAnsi="宋体"/>
          <w:b/>
          <w:color w:val="FF0000"/>
          <w:sz w:val="24"/>
        </w:rPr>
      </w:pPr>
      <w:r>
        <w:rPr>
          <w:rFonts w:hint="eastAsia" w:ascii="宋体" w:hAnsi="宋体"/>
          <w:b/>
          <w:color w:val="FF0000"/>
          <w:sz w:val="24"/>
        </w:rPr>
        <w:t>（</w:t>
      </w:r>
      <w:r>
        <w:rPr>
          <w:rFonts w:hint="eastAsia" w:ascii="宋体" w:hAnsi="宋体"/>
          <w:b/>
          <w:color w:val="FF0000"/>
          <w:sz w:val="24"/>
          <w:lang w:val="en-US" w:eastAsia="zh-CN"/>
        </w:rPr>
        <w:t>委托单中</w:t>
      </w:r>
      <w:r>
        <w:rPr>
          <w:rFonts w:hint="eastAsia" w:ascii="宋体" w:hAnsi="宋体"/>
          <w:b/>
          <w:color w:val="FF0000"/>
          <w:sz w:val="24"/>
        </w:rPr>
        <w:t>红字部分为提醒</w:t>
      </w:r>
      <w:r>
        <w:rPr>
          <w:rFonts w:hint="eastAsia" w:ascii="宋体" w:hAnsi="宋体"/>
          <w:b/>
          <w:color w:val="FF0000"/>
          <w:sz w:val="24"/>
          <w:lang w:val="en-US" w:eastAsia="zh-CN"/>
        </w:rPr>
        <w:t>文字</w:t>
      </w:r>
      <w:r>
        <w:rPr>
          <w:rFonts w:hint="eastAsia" w:ascii="宋体" w:hAnsi="宋体"/>
          <w:b/>
          <w:color w:val="FF0000"/>
          <w:sz w:val="24"/>
        </w:rPr>
        <w:t>，可删除）。</w:t>
      </w:r>
    </w:p>
    <w:tbl>
      <w:tblPr>
        <w:tblStyle w:val="4"/>
        <w:tblW w:w="480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27" w:type="dxa"/>
          <w:bottom w:w="0" w:type="dxa"/>
          <w:right w:w="227" w:type="dxa"/>
        </w:tblCellMar>
      </w:tblPr>
      <w:tblGrid>
        <w:gridCol w:w="497"/>
        <w:gridCol w:w="526"/>
        <w:gridCol w:w="711"/>
        <w:gridCol w:w="2265"/>
        <w:gridCol w:w="1276"/>
        <w:gridCol w:w="2410"/>
        <w:gridCol w:w="1175"/>
        <w:gridCol w:w="723"/>
      </w:tblGrid>
      <w:tr w14:paraId="0640E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680" w:hRule="exact"/>
          <w:jc w:val="center"/>
        </w:trPr>
        <w:tc>
          <w:tcPr>
            <w:tcW w:w="1023" w:type="dxa"/>
            <w:gridSpan w:val="2"/>
            <w:vMerge w:val="restart"/>
            <w:tcBorders>
              <w:bottom w:val="single" w:color="auto" w:sz="4" w:space="0"/>
              <w:right w:val="single" w:color="auto" w:sz="4" w:space="0"/>
            </w:tcBorders>
            <w:noWrap w:val="0"/>
            <w:vAlign w:val="center"/>
          </w:tcPr>
          <w:p w14:paraId="62B63C78">
            <w:pPr>
              <w:spacing w:before="80"/>
              <w:ind w:left="-121" w:right="-15"/>
              <w:jc w:val="center"/>
              <w:rPr>
                <w:szCs w:val="21"/>
              </w:rPr>
            </w:pPr>
            <w:r>
              <w:rPr>
                <w:szCs w:val="21"/>
              </w:rPr>
              <w:t>查新项目名称</w:t>
            </w:r>
          </w:p>
        </w:tc>
        <w:tc>
          <w:tcPr>
            <w:tcW w:w="711" w:type="dxa"/>
            <w:tcBorders>
              <w:left w:val="single" w:color="auto" w:sz="4" w:space="0"/>
              <w:bottom w:val="single" w:color="auto" w:sz="4" w:space="0"/>
              <w:right w:val="single" w:color="auto" w:sz="4" w:space="0"/>
            </w:tcBorders>
            <w:noWrap w:val="0"/>
            <w:vAlign w:val="center"/>
          </w:tcPr>
          <w:p w14:paraId="7A10901C">
            <w:pPr>
              <w:spacing w:before="80"/>
              <w:ind w:right="-227" w:hanging="174"/>
              <w:jc w:val="center"/>
              <w:rPr>
                <w:szCs w:val="21"/>
              </w:rPr>
            </w:pPr>
            <w:r>
              <w:rPr>
                <w:szCs w:val="21"/>
              </w:rPr>
              <w:t>中文</w:t>
            </w:r>
          </w:p>
        </w:tc>
        <w:tc>
          <w:tcPr>
            <w:tcW w:w="7849" w:type="dxa"/>
            <w:gridSpan w:val="5"/>
            <w:tcBorders>
              <w:left w:val="nil"/>
            </w:tcBorders>
            <w:noWrap w:val="0"/>
            <w:vAlign w:val="center"/>
          </w:tcPr>
          <w:p w14:paraId="59861A85">
            <w:pPr>
              <w:spacing w:before="80"/>
              <w:rPr>
                <w:color w:val="FF0000"/>
                <w:szCs w:val="21"/>
              </w:rPr>
            </w:pPr>
            <w:r>
              <w:rPr>
                <w:color w:val="FF0000"/>
                <w:szCs w:val="21"/>
              </w:rPr>
              <w:t>必填</w:t>
            </w:r>
          </w:p>
        </w:tc>
      </w:tr>
      <w:tr w14:paraId="685E2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680" w:hRule="exact"/>
          <w:jc w:val="center"/>
        </w:trPr>
        <w:tc>
          <w:tcPr>
            <w:tcW w:w="1023" w:type="dxa"/>
            <w:gridSpan w:val="2"/>
            <w:vMerge w:val="continue"/>
            <w:tcBorders>
              <w:top w:val="single" w:color="auto" w:sz="4" w:space="0"/>
              <w:right w:val="single" w:color="auto" w:sz="4" w:space="0"/>
            </w:tcBorders>
            <w:noWrap w:val="0"/>
            <w:vAlign w:val="center"/>
          </w:tcPr>
          <w:p w14:paraId="52D369F4">
            <w:pPr>
              <w:spacing w:before="80"/>
              <w:jc w:val="center"/>
              <w:rPr>
                <w:szCs w:val="21"/>
              </w:rPr>
            </w:pPr>
          </w:p>
        </w:tc>
        <w:tc>
          <w:tcPr>
            <w:tcW w:w="711" w:type="dxa"/>
            <w:tcBorders>
              <w:top w:val="single" w:color="auto" w:sz="4" w:space="0"/>
              <w:left w:val="single" w:color="auto" w:sz="4" w:space="0"/>
              <w:right w:val="single" w:color="auto" w:sz="4" w:space="0"/>
            </w:tcBorders>
            <w:noWrap w:val="0"/>
            <w:vAlign w:val="center"/>
          </w:tcPr>
          <w:p w14:paraId="24AEF596">
            <w:pPr>
              <w:spacing w:before="80"/>
              <w:ind w:right="-227" w:hanging="174"/>
              <w:jc w:val="center"/>
              <w:rPr>
                <w:szCs w:val="21"/>
              </w:rPr>
            </w:pPr>
            <w:r>
              <w:rPr>
                <w:szCs w:val="21"/>
              </w:rPr>
              <w:t>英文</w:t>
            </w:r>
          </w:p>
        </w:tc>
        <w:tc>
          <w:tcPr>
            <w:tcW w:w="7849" w:type="dxa"/>
            <w:gridSpan w:val="5"/>
            <w:tcBorders>
              <w:left w:val="nil"/>
            </w:tcBorders>
            <w:noWrap w:val="0"/>
            <w:vAlign w:val="center"/>
          </w:tcPr>
          <w:p w14:paraId="2F023C8B">
            <w:pPr>
              <w:spacing w:before="80"/>
              <w:rPr>
                <w:color w:val="FF0000"/>
                <w:szCs w:val="21"/>
              </w:rPr>
            </w:pPr>
            <w:r>
              <w:rPr>
                <w:color w:val="FF0000"/>
                <w:szCs w:val="21"/>
              </w:rPr>
              <w:t>国内外查新必填，国内查新可不填</w:t>
            </w:r>
          </w:p>
        </w:tc>
      </w:tr>
      <w:tr w14:paraId="33AAB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70" w:type="dxa"/>
            <w:bottom w:w="0" w:type="dxa"/>
            <w:right w:w="170" w:type="dxa"/>
          </w:tblCellMar>
        </w:tblPrEx>
        <w:trPr>
          <w:cantSplit/>
          <w:trHeight w:val="726" w:hRule="exact"/>
          <w:jc w:val="center"/>
        </w:trPr>
        <w:tc>
          <w:tcPr>
            <w:tcW w:w="1734" w:type="dxa"/>
            <w:gridSpan w:val="3"/>
            <w:tcBorders>
              <w:bottom w:val="nil"/>
            </w:tcBorders>
            <w:noWrap w:val="0"/>
            <w:vAlign w:val="center"/>
          </w:tcPr>
          <w:p w14:paraId="458EF492">
            <w:pPr>
              <w:spacing w:before="80"/>
              <w:jc w:val="center"/>
              <w:rPr>
                <w:szCs w:val="21"/>
              </w:rPr>
            </w:pPr>
            <w:r>
              <w:rPr>
                <w:szCs w:val="21"/>
              </w:rPr>
              <w:t>机构名称</w:t>
            </w:r>
          </w:p>
        </w:tc>
        <w:tc>
          <w:tcPr>
            <w:tcW w:w="7849" w:type="dxa"/>
            <w:gridSpan w:val="5"/>
            <w:tcBorders>
              <w:bottom w:val="single" w:color="auto" w:sz="4" w:space="0"/>
            </w:tcBorders>
            <w:noWrap w:val="0"/>
            <w:vAlign w:val="center"/>
          </w:tcPr>
          <w:p w14:paraId="4D645663">
            <w:pPr>
              <w:spacing w:before="80"/>
              <w:rPr>
                <w:color w:val="FF0000"/>
                <w:szCs w:val="21"/>
              </w:rPr>
            </w:pPr>
            <w:r>
              <w:rPr>
                <w:rFonts w:hint="eastAsia"/>
                <w:color w:val="FF0000"/>
                <w:szCs w:val="21"/>
              </w:rPr>
              <w:t>用于报告署名和开具发票，</w:t>
            </w:r>
            <w:r>
              <w:rPr>
                <w:color w:val="FF0000"/>
                <w:szCs w:val="21"/>
              </w:rPr>
              <w:t>请填写</w:t>
            </w:r>
            <w:r>
              <w:rPr>
                <w:rFonts w:hint="eastAsia"/>
                <w:color w:val="FF0000"/>
                <w:szCs w:val="21"/>
              </w:rPr>
              <w:t>单位全名。如报告署名和发票抬头不一致请务必注明。</w:t>
            </w:r>
          </w:p>
        </w:tc>
      </w:tr>
      <w:tr w14:paraId="3D73F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70" w:type="dxa"/>
            <w:bottom w:w="0" w:type="dxa"/>
            <w:right w:w="170" w:type="dxa"/>
          </w:tblCellMar>
        </w:tblPrEx>
        <w:trPr>
          <w:cantSplit/>
          <w:trHeight w:val="680" w:hRule="exact"/>
          <w:jc w:val="center"/>
        </w:trPr>
        <w:tc>
          <w:tcPr>
            <w:tcW w:w="497" w:type="dxa"/>
            <w:vMerge w:val="restart"/>
            <w:tcBorders>
              <w:bottom w:val="nil"/>
            </w:tcBorders>
            <w:noWrap w:val="0"/>
            <w:vAlign w:val="center"/>
          </w:tcPr>
          <w:p w14:paraId="7B498D7A">
            <w:pPr>
              <w:spacing w:line="300" w:lineRule="auto"/>
              <w:jc w:val="center"/>
              <w:rPr>
                <w:szCs w:val="21"/>
              </w:rPr>
            </w:pPr>
            <w:r>
              <w:rPr>
                <w:szCs w:val="21"/>
              </w:rPr>
              <w:t>查新机构</w:t>
            </w:r>
          </w:p>
        </w:tc>
        <w:tc>
          <w:tcPr>
            <w:tcW w:w="1237" w:type="dxa"/>
            <w:gridSpan w:val="2"/>
            <w:tcBorders>
              <w:top w:val="single" w:color="auto" w:sz="4" w:space="0"/>
              <w:bottom w:val="single" w:color="auto" w:sz="4" w:space="0"/>
              <w:right w:val="single" w:color="auto" w:sz="4" w:space="0"/>
            </w:tcBorders>
            <w:noWrap w:val="0"/>
            <w:vAlign w:val="center"/>
          </w:tcPr>
          <w:p w14:paraId="3478FC11">
            <w:pPr>
              <w:spacing w:before="80"/>
              <w:rPr>
                <w:szCs w:val="21"/>
              </w:rPr>
            </w:pPr>
            <w:r>
              <w:rPr>
                <w:szCs w:val="21"/>
              </w:rPr>
              <w:t>机构名称</w:t>
            </w:r>
          </w:p>
        </w:tc>
        <w:tc>
          <w:tcPr>
            <w:tcW w:w="2265" w:type="dxa"/>
            <w:tcBorders>
              <w:top w:val="single" w:color="auto" w:sz="4" w:space="0"/>
              <w:left w:val="single" w:color="auto" w:sz="4" w:space="0"/>
              <w:bottom w:val="single" w:color="auto" w:sz="4" w:space="0"/>
              <w:right w:val="single" w:color="auto" w:sz="4" w:space="0"/>
            </w:tcBorders>
            <w:noWrap w:val="0"/>
            <w:vAlign w:val="center"/>
          </w:tcPr>
          <w:p w14:paraId="779D23F5">
            <w:pPr>
              <w:spacing w:before="80"/>
              <w:ind w:left="-172" w:leftChars="-82" w:right="-168" w:rightChars="-80"/>
              <w:jc w:val="center"/>
              <w:rPr>
                <w:szCs w:val="21"/>
              </w:rPr>
            </w:pPr>
            <w:r>
              <w:rPr>
                <w:szCs w:val="21"/>
              </w:rPr>
              <w:t>中国科学院兰州查新咨询中心</w:t>
            </w:r>
          </w:p>
        </w:tc>
        <w:tc>
          <w:tcPr>
            <w:tcW w:w="1276" w:type="dxa"/>
            <w:tcBorders>
              <w:top w:val="single" w:color="auto" w:sz="4" w:space="0"/>
              <w:left w:val="single" w:color="auto" w:sz="4" w:space="0"/>
              <w:bottom w:val="single" w:color="auto" w:sz="4" w:space="0"/>
              <w:right w:val="single" w:color="auto" w:sz="4" w:space="0"/>
            </w:tcBorders>
            <w:noWrap w:val="0"/>
            <w:vAlign w:val="center"/>
          </w:tcPr>
          <w:p w14:paraId="4E174351">
            <w:pPr>
              <w:spacing w:before="80"/>
              <w:jc w:val="center"/>
              <w:rPr>
                <w:szCs w:val="21"/>
              </w:rPr>
            </w:pPr>
            <w:r>
              <w:rPr>
                <w:szCs w:val="21"/>
              </w:rPr>
              <w:t>通信地址</w:t>
            </w:r>
          </w:p>
        </w:tc>
        <w:tc>
          <w:tcPr>
            <w:tcW w:w="2410" w:type="dxa"/>
            <w:tcBorders>
              <w:top w:val="single" w:color="auto" w:sz="4" w:space="0"/>
              <w:left w:val="single" w:color="auto" w:sz="4" w:space="0"/>
              <w:bottom w:val="single" w:color="auto" w:sz="4" w:space="0"/>
              <w:right w:val="single" w:color="auto" w:sz="4" w:space="0"/>
            </w:tcBorders>
            <w:noWrap w:val="0"/>
            <w:vAlign w:val="center"/>
          </w:tcPr>
          <w:p w14:paraId="39CCB88B">
            <w:pPr>
              <w:spacing w:before="80"/>
              <w:jc w:val="center"/>
              <w:rPr>
                <w:szCs w:val="21"/>
              </w:rPr>
            </w:pPr>
            <w:r>
              <w:rPr>
                <w:szCs w:val="21"/>
              </w:rPr>
              <w:t>兰州市天水中路8号</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10DBC74D">
            <w:pPr>
              <w:spacing w:before="80"/>
              <w:ind w:right="-168" w:hanging="64"/>
              <w:jc w:val="center"/>
              <w:rPr>
                <w:szCs w:val="21"/>
              </w:rPr>
            </w:pPr>
            <w:r>
              <w:rPr>
                <w:szCs w:val="21"/>
              </w:rPr>
              <w:t>邮政编码</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047DCC94">
            <w:pPr>
              <w:spacing w:before="80"/>
              <w:ind w:right="-168"/>
              <w:jc w:val="center"/>
              <w:rPr>
                <w:szCs w:val="21"/>
              </w:rPr>
            </w:pPr>
            <w:r>
              <w:rPr>
                <w:szCs w:val="21"/>
              </w:rPr>
              <w:t>730000</w:t>
            </w:r>
          </w:p>
        </w:tc>
      </w:tr>
      <w:tr w14:paraId="00261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70" w:type="dxa"/>
            <w:bottom w:w="0" w:type="dxa"/>
            <w:right w:w="170" w:type="dxa"/>
          </w:tblCellMar>
        </w:tblPrEx>
        <w:trPr>
          <w:cantSplit/>
          <w:trHeight w:val="680" w:hRule="exact"/>
          <w:jc w:val="center"/>
        </w:trPr>
        <w:tc>
          <w:tcPr>
            <w:tcW w:w="497" w:type="dxa"/>
            <w:vMerge w:val="continue"/>
            <w:tcBorders>
              <w:bottom w:val="nil"/>
            </w:tcBorders>
            <w:noWrap w:val="0"/>
            <w:vAlign w:val="center"/>
          </w:tcPr>
          <w:p w14:paraId="10E4255B">
            <w:pPr>
              <w:spacing w:line="300" w:lineRule="auto"/>
              <w:jc w:val="center"/>
              <w:rPr>
                <w:szCs w:val="21"/>
              </w:rPr>
            </w:pPr>
          </w:p>
        </w:tc>
        <w:tc>
          <w:tcPr>
            <w:tcW w:w="1237" w:type="dxa"/>
            <w:gridSpan w:val="2"/>
            <w:tcBorders>
              <w:top w:val="single" w:color="auto" w:sz="4" w:space="0"/>
              <w:bottom w:val="single" w:color="auto" w:sz="4" w:space="0"/>
              <w:right w:val="single" w:color="auto" w:sz="4" w:space="0"/>
            </w:tcBorders>
            <w:noWrap w:val="0"/>
            <w:vAlign w:val="center"/>
          </w:tcPr>
          <w:p w14:paraId="36CBF57B">
            <w:pPr>
              <w:spacing w:before="80"/>
              <w:rPr>
                <w:szCs w:val="21"/>
              </w:rPr>
            </w:pPr>
            <w:r>
              <w:rPr>
                <w:rFonts w:hint="eastAsia"/>
                <w:szCs w:val="21"/>
              </w:rPr>
              <w:t>负 责 人</w:t>
            </w:r>
          </w:p>
        </w:tc>
        <w:tc>
          <w:tcPr>
            <w:tcW w:w="2265" w:type="dxa"/>
            <w:tcBorders>
              <w:top w:val="single" w:color="auto" w:sz="4" w:space="0"/>
              <w:left w:val="single" w:color="auto" w:sz="4" w:space="0"/>
              <w:bottom w:val="single" w:color="auto" w:sz="4" w:space="0"/>
              <w:right w:val="single" w:color="auto" w:sz="4" w:space="0"/>
            </w:tcBorders>
            <w:noWrap w:val="0"/>
            <w:vAlign w:val="center"/>
          </w:tcPr>
          <w:p w14:paraId="2AFD7E23">
            <w:pPr>
              <w:spacing w:before="80"/>
              <w:ind w:left="-172" w:leftChars="-82" w:right="-168" w:rightChars="-80"/>
              <w:jc w:val="center"/>
              <w:rPr>
                <w:szCs w:val="21"/>
              </w:rPr>
            </w:pPr>
            <w:r>
              <w:rPr>
                <w:rFonts w:hint="eastAsia"/>
                <w:szCs w:val="21"/>
              </w:rPr>
              <w:t>任  珩</w:t>
            </w:r>
          </w:p>
        </w:tc>
        <w:tc>
          <w:tcPr>
            <w:tcW w:w="1276" w:type="dxa"/>
            <w:tcBorders>
              <w:top w:val="single" w:color="auto" w:sz="4" w:space="0"/>
              <w:left w:val="single" w:color="auto" w:sz="4" w:space="0"/>
              <w:bottom w:val="single" w:color="auto" w:sz="4" w:space="0"/>
              <w:right w:val="single" w:color="auto" w:sz="4" w:space="0"/>
            </w:tcBorders>
            <w:noWrap w:val="0"/>
            <w:vAlign w:val="center"/>
          </w:tcPr>
          <w:p w14:paraId="70BF4D58">
            <w:pPr>
              <w:spacing w:before="80"/>
              <w:jc w:val="center"/>
              <w:rPr>
                <w:szCs w:val="21"/>
              </w:rPr>
            </w:pPr>
            <w:r>
              <w:rPr>
                <w:rFonts w:hint="eastAsia"/>
                <w:szCs w:val="21"/>
              </w:rPr>
              <w:t>QQ服务群</w:t>
            </w:r>
          </w:p>
        </w:tc>
        <w:tc>
          <w:tcPr>
            <w:tcW w:w="4308" w:type="dxa"/>
            <w:gridSpan w:val="3"/>
            <w:tcBorders>
              <w:top w:val="single" w:color="auto" w:sz="4" w:space="0"/>
              <w:left w:val="single" w:color="auto" w:sz="4" w:space="0"/>
              <w:bottom w:val="single" w:color="auto" w:sz="4" w:space="0"/>
              <w:right w:val="single" w:color="auto" w:sz="4" w:space="0"/>
            </w:tcBorders>
            <w:noWrap w:val="0"/>
            <w:vAlign w:val="center"/>
          </w:tcPr>
          <w:p w14:paraId="07D65C11">
            <w:pPr>
              <w:spacing w:before="80"/>
              <w:ind w:right="-168"/>
              <w:jc w:val="center"/>
              <w:rPr>
                <w:szCs w:val="21"/>
              </w:rPr>
            </w:pPr>
            <w:r>
              <w:rPr>
                <w:rFonts w:hint="eastAsia"/>
                <w:szCs w:val="21"/>
              </w:rPr>
              <w:t>852151684</w:t>
            </w:r>
          </w:p>
        </w:tc>
      </w:tr>
      <w:tr w14:paraId="590E0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70" w:type="dxa"/>
            <w:bottom w:w="0" w:type="dxa"/>
            <w:right w:w="170" w:type="dxa"/>
          </w:tblCellMar>
        </w:tblPrEx>
        <w:trPr>
          <w:cantSplit/>
          <w:trHeight w:val="680" w:hRule="exact"/>
          <w:jc w:val="center"/>
        </w:trPr>
        <w:tc>
          <w:tcPr>
            <w:tcW w:w="497" w:type="dxa"/>
            <w:vMerge w:val="continue"/>
            <w:tcBorders>
              <w:bottom w:val="nil"/>
            </w:tcBorders>
            <w:noWrap w:val="0"/>
            <w:vAlign w:val="top"/>
          </w:tcPr>
          <w:p w14:paraId="7F27A832">
            <w:pPr>
              <w:jc w:val="center"/>
              <w:rPr>
                <w:szCs w:val="21"/>
              </w:rPr>
            </w:pPr>
          </w:p>
        </w:tc>
        <w:tc>
          <w:tcPr>
            <w:tcW w:w="1237" w:type="dxa"/>
            <w:gridSpan w:val="2"/>
            <w:vMerge w:val="restart"/>
            <w:noWrap w:val="0"/>
            <w:vAlign w:val="center"/>
          </w:tcPr>
          <w:p w14:paraId="1EA901B9">
            <w:pPr>
              <w:spacing w:before="80"/>
              <w:rPr>
                <w:szCs w:val="21"/>
              </w:rPr>
            </w:pPr>
            <w:r>
              <w:rPr>
                <w:szCs w:val="21"/>
              </w:rPr>
              <w:t>联 系 人</w:t>
            </w:r>
          </w:p>
        </w:tc>
        <w:tc>
          <w:tcPr>
            <w:tcW w:w="2265" w:type="dxa"/>
            <w:tcBorders>
              <w:bottom w:val="single" w:color="auto" w:sz="4" w:space="0"/>
            </w:tcBorders>
            <w:noWrap w:val="0"/>
            <w:vAlign w:val="center"/>
          </w:tcPr>
          <w:p w14:paraId="21F054D0">
            <w:pPr>
              <w:spacing w:before="80"/>
              <w:jc w:val="center"/>
              <w:rPr>
                <w:szCs w:val="21"/>
              </w:rPr>
            </w:pPr>
            <w:r>
              <w:rPr>
                <w:rFonts w:hint="eastAsia"/>
                <w:szCs w:val="21"/>
              </w:rPr>
              <w:t>鲁景亮</w:t>
            </w:r>
          </w:p>
        </w:tc>
        <w:tc>
          <w:tcPr>
            <w:tcW w:w="1276" w:type="dxa"/>
            <w:tcBorders>
              <w:bottom w:val="single" w:color="auto" w:sz="4" w:space="0"/>
            </w:tcBorders>
            <w:noWrap w:val="0"/>
            <w:vAlign w:val="center"/>
          </w:tcPr>
          <w:p w14:paraId="00598353">
            <w:pPr>
              <w:spacing w:before="80"/>
              <w:ind w:right="-168"/>
              <w:jc w:val="center"/>
              <w:rPr>
                <w:szCs w:val="21"/>
              </w:rPr>
            </w:pPr>
            <w:r>
              <w:rPr>
                <w:szCs w:val="21"/>
              </w:rPr>
              <w:t>电子信箱</w:t>
            </w:r>
          </w:p>
        </w:tc>
        <w:tc>
          <w:tcPr>
            <w:tcW w:w="4308" w:type="dxa"/>
            <w:gridSpan w:val="3"/>
            <w:tcBorders>
              <w:bottom w:val="single" w:color="auto" w:sz="4" w:space="0"/>
            </w:tcBorders>
            <w:noWrap w:val="0"/>
            <w:vAlign w:val="center"/>
          </w:tcPr>
          <w:p w14:paraId="6E912800">
            <w:pPr>
              <w:jc w:val="center"/>
              <w:rPr>
                <w:rFonts w:hint="eastAsia"/>
                <w:color w:val="000000"/>
                <w:szCs w:val="21"/>
              </w:rPr>
            </w:pPr>
            <w:r>
              <w:rPr>
                <w:color w:val="000000"/>
                <w:szCs w:val="21"/>
              </w:rPr>
              <w:t>jiansuo@lzb.ac.cn</w:t>
            </w:r>
          </w:p>
        </w:tc>
      </w:tr>
      <w:tr w14:paraId="6D623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70" w:type="dxa"/>
            <w:bottom w:w="0" w:type="dxa"/>
            <w:right w:w="170" w:type="dxa"/>
          </w:tblCellMar>
        </w:tblPrEx>
        <w:trPr>
          <w:cantSplit/>
          <w:trHeight w:val="680" w:hRule="exact"/>
          <w:jc w:val="center"/>
        </w:trPr>
        <w:tc>
          <w:tcPr>
            <w:tcW w:w="497" w:type="dxa"/>
            <w:vMerge w:val="continue"/>
            <w:tcBorders>
              <w:bottom w:val="single" w:color="auto" w:sz="4" w:space="0"/>
            </w:tcBorders>
            <w:noWrap w:val="0"/>
            <w:vAlign w:val="top"/>
          </w:tcPr>
          <w:p w14:paraId="356C5B35">
            <w:pPr>
              <w:jc w:val="center"/>
              <w:rPr>
                <w:szCs w:val="21"/>
              </w:rPr>
            </w:pPr>
          </w:p>
        </w:tc>
        <w:tc>
          <w:tcPr>
            <w:tcW w:w="1237" w:type="dxa"/>
            <w:gridSpan w:val="2"/>
            <w:vMerge w:val="continue"/>
            <w:tcBorders>
              <w:bottom w:val="single" w:color="auto" w:sz="4" w:space="0"/>
            </w:tcBorders>
            <w:noWrap w:val="0"/>
            <w:vAlign w:val="center"/>
          </w:tcPr>
          <w:p w14:paraId="4896575B">
            <w:pPr>
              <w:spacing w:before="80"/>
              <w:ind w:right="-168"/>
              <w:jc w:val="center"/>
              <w:rPr>
                <w:szCs w:val="21"/>
              </w:rPr>
            </w:pPr>
          </w:p>
        </w:tc>
        <w:tc>
          <w:tcPr>
            <w:tcW w:w="2265" w:type="dxa"/>
            <w:tcBorders>
              <w:bottom w:val="single" w:color="auto" w:sz="4" w:space="0"/>
            </w:tcBorders>
            <w:noWrap w:val="0"/>
            <w:vAlign w:val="center"/>
          </w:tcPr>
          <w:p w14:paraId="69B91F2E">
            <w:pPr>
              <w:spacing w:before="80"/>
              <w:jc w:val="center"/>
              <w:rPr>
                <w:szCs w:val="21"/>
              </w:rPr>
            </w:pPr>
            <w:r>
              <w:rPr>
                <w:szCs w:val="21"/>
              </w:rPr>
              <w:t>（0931）</w:t>
            </w:r>
            <w:r>
              <w:rPr>
                <w:color w:val="000000"/>
                <w:szCs w:val="21"/>
              </w:rPr>
              <w:t>8274297</w:t>
            </w:r>
          </w:p>
        </w:tc>
        <w:tc>
          <w:tcPr>
            <w:tcW w:w="1276" w:type="dxa"/>
            <w:tcBorders>
              <w:bottom w:val="single" w:color="auto" w:sz="4" w:space="0"/>
            </w:tcBorders>
            <w:noWrap w:val="0"/>
            <w:vAlign w:val="center"/>
          </w:tcPr>
          <w:p w14:paraId="2A3549A3">
            <w:pPr>
              <w:spacing w:before="80"/>
              <w:ind w:right="-168"/>
              <w:jc w:val="center"/>
              <w:rPr>
                <w:szCs w:val="21"/>
              </w:rPr>
            </w:pPr>
            <w:r>
              <w:rPr>
                <w:rFonts w:hint="eastAsia"/>
                <w:szCs w:val="21"/>
              </w:rPr>
              <w:t>Q Q</w:t>
            </w:r>
          </w:p>
        </w:tc>
        <w:tc>
          <w:tcPr>
            <w:tcW w:w="4308" w:type="dxa"/>
            <w:gridSpan w:val="3"/>
            <w:tcBorders>
              <w:bottom w:val="single" w:color="auto" w:sz="4" w:space="0"/>
            </w:tcBorders>
            <w:noWrap w:val="0"/>
            <w:vAlign w:val="center"/>
          </w:tcPr>
          <w:p w14:paraId="6E039B56">
            <w:pPr>
              <w:spacing w:before="80"/>
              <w:jc w:val="center"/>
              <w:rPr>
                <w:szCs w:val="21"/>
              </w:rPr>
            </w:pPr>
            <w:r>
              <w:rPr>
                <w:szCs w:val="21"/>
              </w:rPr>
              <w:t>3013232799</w:t>
            </w:r>
          </w:p>
        </w:tc>
      </w:tr>
      <w:tr w14:paraId="03DDD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9583" w:type="dxa"/>
            <w:gridSpan w:val="8"/>
            <w:noWrap w:val="0"/>
            <w:vAlign w:val="top"/>
          </w:tcPr>
          <w:p w14:paraId="387BFF32">
            <w:pPr>
              <w:spacing w:before="60" w:after="60"/>
              <w:ind w:left="-2"/>
              <w:rPr>
                <w:b/>
                <w:szCs w:val="21"/>
              </w:rPr>
            </w:pPr>
            <w:r>
              <w:rPr>
                <w:b/>
                <w:szCs w:val="21"/>
              </w:rPr>
              <w:t>一、查新目的及查新范围</w:t>
            </w:r>
          </w:p>
          <w:p w14:paraId="75ED7FB2">
            <w:pPr>
              <w:spacing w:before="60" w:line="300" w:lineRule="auto"/>
              <w:ind w:left="420" w:leftChars="200" w:firstLine="0" w:firstLineChars="0"/>
              <w:rPr>
                <w:szCs w:val="21"/>
              </w:rPr>
            </w:pPr>
            <w:r>
              <w:rPr>
                <w:szCs w:val="21"/>
              </w:rPr>
              <w:t>立项查新（</w:t>
            </w:r>
            <w:r>
              <w:rPr>
                <w:rFonts w:hint="eastAsia"/>
                <w:szCs w:val="21"/>
              </w:rPr>
              <w:t>项目申报</w:t>
            </w:r>
            <w:r>
              <w:rPr>
                <w:rFonts w:hint="eastAsia"/>
                <w:szCs w:val="21"/>
                <w:lang w:eastAsia="zh-CN"/>
              </w:rPr>
              <w:t>、</w:t>
            </w:r>
            <w:r>
              <w:rPr>
                <w:rFonts w:hint="eastAsia"/>
                <w:szCs w:val="21"/>
              </w:rPr>
              <w:t>科技计划申报</w:t>
            </w:r>
            <w:r>
              <w:rPr>
                <w:rFonts w:hint="eastAsia"/>
                <w:szCs w:val="21"/>
                <w:lang w:eastAsia="zh-CN"/>
              </w:rPr>
              <w:t>、</w:t>
            </w:r>
            <w:r>
              <w:rPr>
                <w:rFonts w:hint="eastAsia"/>
                <w:szCs w:val="21"/>
              </w:rPr>
              <w:t>新技术新业务</w:t>
            </w:r>
            <w:r>
              <w:rPr>
                <w:szCs w:val="21"/>
              </w:rPr>
              <w:t xml:space="preserve">）： </w:t>
            </w:r>
            <w:r>
              <w:rPr>
                <w:szCs w:val="21"/>
                <w:u w:val="single"/>
              </w:rPr>
              <w:t xml:space="preserve">        </w:t>
            </w:r>
            <w:r>
              <w:rPr>
                <w:szCs w:val="21"/>
              </w:rPr>
              <w:t xml:space="preserve"> 范围：</w:t>
            </w:r>
            <w:r>
              <w:rPr>
                <w:rFonts w:hint="eastAsia"/>
                <w:szCs w:val="21"/>
              </w:rPr>
              <w:t>□</w:t>
            </w:r>
            <w:r>
              <w:rPr>
                <w:szCs w:val="21"/>
              </w:rPr>
              <w:t xml:space="preserve">国内    </w:t>
            </w:r>
            <w:r>
              <w:rPr>
                <w:rFonts w:hint="eastAsia"/>
                <w:szCs w:val="21"/>
              </w:rPr>
              <w:t>□</w:t>
            </w:r>
            <w:r>
              <w:rPr>
                <w:szCs w:val="21"/>
              </w:rPr>
              <w:t>国内外</w:t>
            </w:r>
          </w:p>
          <w:p w14:paraId="78CA3BA0">
            <w:pPr>
              <w:spacing w:before="60" w:line="300" w:lineRule="auto"/>
              <w:ind w:left="420" w:leftChars="200" w:firstLine="0" w:firstLineChars="0"/>
              <w:rPr>
                <w:rFonts w:ascii="Times New Roman" w:hAnsi="Times New Roman" w:eastAsia="宋体" w:cs="Times New Roman"/>
                <w:szCs w:val="21"/>
              </w:rPr>
            </w:pPr>
            <w:r>
              <w:rPr>
                <w:rFonts w:ascii="Times New Roman" w:hAnsi="Times New Roman" w:eastAsia="宋体" w:cs="Times New Roman"/>
                <w:szCs w:val="21"/>
              </w:rPr>
              <w:t>立项查新（</w:t>
            </w:r>
            <w:r>
              <w:rPr>
                <w:rFonts w:hint="eastAsia" w:ascii="Times New Roman" w:hAnsi="Times New Roman" w:eastAsia="宋体" w:cs="Times New Roman"/>
                <w:szCs w:val="21"/>
                <w:lang w:val="en-US" w:eastAsia="zh-CN"/>
              </w:rPr>
              <w:t>硕博开题、技术引进等</w:t>
            </w:r>
            <w:r>
              <w:rPr>
                <w:rFonts w:ascii="Times New Roman" w:hAnsi="Times New Roman" w:eastAsia="宋体" w:cs="Times New Roman"/>
                <w:szCs w:val="21"/>
              </w:rPr>
              <w:t xml:space="preserve">）： </w:t>
            </w:r>
            <w:r>
              <w:rPr>
                <w:rFonts w:ascii="Times New Roman" w:hAnsi="Times New Roman" w:eastAsia="宋体" w:cs="Times New Roman"/>
                <w:szCs w:val="21"/>
                <w:u w:val="single"/>
              </w:rPr>
              <w:t xml:space="preserve">      </w:t>
            </w:r>
            <w:r>
              <w:rPr>
                <w:rFonts w:hint="eastAsia" w:ascii="Times New Roman" w:hAnsi="Times New Roman" w:eastAsia="宋体" w:cs="Times New Roman"/>
                <w:szCs w:val="21"/>
                <w:u w:val="single"/>
                <w:lang w:val="en-US" w:eastAsia="zh-CN"/>
              </w:rPr>
              <w:t xml:space="preserve">                </w:t>
            </w:r>
            <w:r>
              <w:rPr>
                <w:rFonts w:ascii="Times New Roman" w:hAnsi="Times New Roman" w:eastAsia="宋体" w:cs="Times New Roman"/>
                <w:szCs w:val="21"/>
                <w:u w:val="single"/>
              </w:rPr>
              <w:t xml:space="preserve">  </w:t>
            </w:r>
            <w:r>
              <w:rPr>
                <w:rFonts w:ascii="Times New Roman" w:hAnsi="Times New Roman" w:eastAsia="宋体" w:cs="Times New Roman"/>
                <w:szCs w:val="21"/>
              </w:rPr>
              <w:t xml:space="preserve"> 范围：</w:t>
            </w:r>
            <w:r>
              <w:rPr>
                <w:rFonts w:hint="eastAsia" w:ascii="Times New Roman" w:hAnsi="Times New Roman" w:eastAsia="宋体" w:cs="Times New Roman"/>
                <w:szCs w:val="21"/>
              </w:rPr>
              <w:t>□</w:t>
            </w:r>
            <w:r>
              <w:rPr>
                <w:rFonts w:ascii="Times New Roman" w:hAnsi="Times New Roman" w:eastAsia="宋体" w:cs="Times New Roman"/>
                <w:szCs w:val="21"/>
              </w:rPr>
              <w:t xml:space="preserve">国内    </w:t>
            </w:r>
            <w:r>
              <w:rPr>
                <w:rFonts w:hint="eastAsia" w:ascii="Times New Roman" w:hAnsi="Times New Roman" w:eastAsia="宋体" w:cs="Times New Roman"/>
                <w:szCs w:val="21"/>
              </w:rPr>
              <w:t>□</w:t>
            </w:r>
            <w:r>
              <w:rPr>
                <w:rFonts w:ascii="Times New Roman" w:hAnsi="Times New Roman" w:eastAsia="宋体" w:cs="Times New Roman"/>
                <w:szCs w:val="21"/>
              </w:rPr>
              <w:t>国内外</w:t>
            </w:r>
          </w:p>
          <w:p w14:paraId="24CDF446">
            <w:pPr>
              <w:spacing w:before="60" w:line="300" w:lineRule="auto"/>
              <w:ind w:left="420" w:leftChars="200" w:firstLine="0" w:firstLineChars="0"/>
              <w:rPr>
                <w:szCs w:val="21"/>
              </w:rPr>
            </w:pPr>
            <w:r>
              <w:rPr>
                <w:szCs w:val="21"/>
              </w:rPr>
              <w:t>成果查新（成果鉴定、申报奖励）：</w:t>
            </w:r>
            <w:r>
              <w:rPr>
                <w:szCs w:val="21"/>
                <w:u w:val="single"/>
              </w:rPr>
              <w:t xml:space="preserve">             </w:t>
            </w:r>
            <w:r>
              <w:rPr>
                <w:rFonts w:hint="eastAsia"/>
                <w:szCs w:val="21"/>
                <w:u w:val="single"/>
                <w:lang w:val="en-US" w:eastAsia="zh-CN"/>
              </w:rPr>
              <w:t xml:space="preserve">     </w:t>
            </w:r>
            <w:r>
              <w:rPr>
                <w:szCs w:val="21"/>
                <w:u w:val="single"/>
              </w:rPr>
              <w:t xml:space="preserve">        </w:t>
            </w:r>
            <w:r>
              <w:rPr>
                <w:szCs w:val="21"/>
              </w:rPr>
              <w:t xml:space="preserve">  范围：</w:t>
            </w:r>
            <w:r>
              <w:rPr>
                <w:rFonts w:hint="eastAsia"/>
                <w:szCs w:val="21"/>
              </w:rPr>
              <w:t>□</w:t>
            </w:r>
            <w:r>
              <w:rPr>
                <w:szCs w:val="21"/>
              </w:rPr>
              <w:t xml:space="preserve">国内    </w:t>
            </w:r>
            <w:r>
              <w:rPr>
                <w:rFonts w:hint="eastAsia"/>
                <w:szCs w:val="21"/>
              </w:rPr>
              <w:t>□</w:t>
            </w:r>
            <w:r>
              <w:rPr>
                <w:szCs w:val="21"/>
              </w:rPr>
              <w:t>国内外</w:t>
            </w:r>
          </w:p>
          <w:p w14:paraId="667081D5">
            <w:pPr>
              <w:spacing w:before="60" w:line="300" w:lineRule="auto"/>
              <w:ind w:left="420" w:leftChars="200" w:firstLine="0" w:firstLineChars="0"/>
              <w:rPr>
                <w:rFonts w:hint="eastAsia"/>
                <w:szCs w:val="21"/>
              </w:rPr>
            </w:pPr>
            <w:r>
              <w:rPr>
                <w:rFonts w:hint="eastAsia"/>
                <w:szCs w:val="21"/>
              </w:rPr>
              <w:t>成果查新（</w:t>
            </w:r>
            <w:r>
              <w:rPr>
                <w:rFonts w:hint="eastAsia"/>
                <w:szCs w:val="21"/>
                <w:lang w:val="en-US" w:eastAsia="zh-CN"/>
              </w:rPr>
              <w:t>项目结题</w:t>
            </w:r>
            <w:r>
              <w:rPr>
                <w:rFonts w:hint="eastAsia"/>
                <w:szCs w:val="21"/>
              </w:rPr>
              <w:t>、</w:t>
            </w:r>
            <w:r>
              <w:rPr>
                <w:rFonts w:hint="eastAsia"/>
                <w:szCs w:val="21"/>
                <w:lang w:val="en-US" w:eastAsia="zh-CN"/>
              </w:rPr>
              <w:t>新产品申报等</w:t>
            </w:r>
            <w:r>
              <w:rPr>
                <w:rFonts w:hint="eastAsia"/>
                <w:szCs w:val="21"/>
              </w:rPr>
              <w:t>）：</w:t>
            </w:r>
            <w:r>
              <w:rPr>
                <w:szCs w:val="21"/>
                <w:u w:val="single"/>
              </w:rPr>
              <w:t xml:space="preserve">                </w:t>
            </w:r>
            <w:r>
              <w:rPr>
                <w:rFonts w:hint="eastAsia"/>
                <w:szCs w:val="21"/>
                <w:u w:val="single"/>
                <w:lang w:val="en-US" w:eastAsia="zh-CN"/>
              </w:rPr>
              <w:t xml:space="preserve"> </w:t>
            </w:r>
            <w:r>
              <w:rPr>
                <w:szCs w:val="21"/>
                <w:u w:val="single"/>
              </w:rPr>
              <w:t xml:space="preserve">      </w:t>
            </w:r>
            <w:r>
              <w:rPr>
                <w:rFonts w:hint="eastAsia"/>
                <w:szCs w:val="21"/>
              </w:rPr>
              <w:t xml:space="preserve"> 范围：□国内    □国内外</w:t>
            </w:r>
          </w:p>
          <w:p w14:paraId="14E9B23C">
            <w:pPr>
              <w:spacing w:before="60" w:line="300" w:lineRule="auto"/>
              <w:ind w:left="420" w:leftChars="200" w:firstLine="0" w:firstLineChars="0"/>
              <w:rPr>
                <w:rFonts w:hint="eastAsia"/>
                <w:szCs w:val="21"/>
              </w:rPr>
            </w:pPr>
            <w:r>
              <w:rPr>
                <w:rFonts w:hint="eastAsia"/>
                <w:szCs w:val="21"/>
              </w:rPr>
              <w:t>实验室</w:t>
            </w:r>
            <w:r>
              <w:rPr>
                <w:szCs w:val="21"/>
              </w:rPr>
              <w:t>查新</w:t>
            </w:r>
            <w:r>
              <w:rPr>
                <w:rFonts w:hint="eastAsia"/>
                <w:szCs w:val="21"/>
              </w:rPr>
              <w:t>（实验室申请、评估）</w:t>
            </w:r>
            <w:r>
              <w:rPr>
                <w:szCs w:val="21"/>
              </w:rPr>
              <w:t>：</w:t>
            </w:r>
            <w:r>
              <w:rPr>
                <w:szCs w:val="21"/>
                <w:u w:val="single"/>
              </w:rPr>
              <w:t xml:space="preserve">      </w:t>
            </w:r>
            <w:r>
              <w:rPr>
                <w:rFonts w:hint="eastAsia"/>
                <w:szCs w:val="21"/>
                <w:u w:val="single"/>
              </w:rPr>
              <w:t xml:space="preserve">             </w:t>
            </w:r>
            <w:r>
              <w:rPr>
                <w:rFonts w:hint="eastAsia"/>
                <w:szCs w:val="21"/>
                <w:u w:val="single"/>
                <w:lang w:val="en-US" w:eastAsia="zh-CN"/>
              </w:rPr>
              <w:t xml:space="preserve"> </w:t>
            </w:r>
            <w:r>
              <w:rPr>
                <w:rFonts w:hint="eastAsia"/>
                <w:szCs w:val="21"/>
                <w:u w:val="single"/>
              </w:rPr>
              <w:t xml:space="preserve">    </w:t>
            </w:r>
            <w:r>
              <w:rPr>
                <w:szCs w:val="21"/>
              </w:rPr>
              <w:t xml:space="preserve">    范围：</w:t>
            </w:r>
            <w:r>
              <w:rPr>
                <w:rFonts w:hint="eastAsia"/>
                <w:szCs w:val="21"/>
              </w:rPr>
              <w:t>□</w:t>
            </w:r>
            <w:r>
              <w:rPr>
                <w:szCs w:val="21"/>
              </w:rPr>
              <w:t xml:space="preserve">国内  </w:t>
            </w:r>
            <w:r>
              <w:rPr>
                <w:rFonts w:hint="eastAsia"/>
                <w:szCs w:val="21"/>
                <w:lang w:val="en-US" w:eastAsia="zh-CN"/>
              </w:rPr>
              <w:t xml:space="preserve"> </w:t>
            </w:r>
            <w:r>
              <w:rPr>
                <w:szCs w:val="21"/>
              </w:rPr>
              <w:t xml:space="preserve"> </w:t>
            </w:r>
            <w:r>
              <w:rPr>
                <w:rFonts w:hint="eastAsia"/>
                <w:szCs w:val="21"/>
              </w:rPr>
              <w:t>□</w:t>
            </w:r>
            <w:r>
              <w:rPr>
                <w:szCs w:val="21"/>
              </w:rPr>
              <w:t>国内外</w:t>
            </w:r>
          </w:p>
          <w:p w14:paraId="5DEE24CE">
            <w:pPr>
              <w:spacing w:before="60" w:line="300" w:lineRule="auto"/>
              <w:ind w:left="420" w:leftChars="200" w:firstLine="0" w:firstLineChars="0"/>
              <w:rPr>
                <w:rFonts w:hint="eastAsia"/>
                <w:szCs w:val="21"/>
              </w:rPr>
            </w:pPr>
            <w:r>
              <w:rPr>
                <w:rFonts w:hint="eastAsia"/>
                <w:szCs w:val="21"/>
                <w:lang w:val="en-US" w:eastAsia="zh-CN"/>
              </w:rPr>
              <w:t>其他</w:t>
            </w:r>
            <w:r>
              <w:rPr>
                <w:szCs w:val="21"/>
              </w:rPr>
              <w:t>查新：</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lang w:val="en-US" w:eastAsia="zh-CN"/>
              </w:rPr>
              <w:t xml:space="preserve"> </w:t>
            </w:r>
            <w:r>
              <w:rPr>
                <w:szCs w:val="21"/>
                <w:u w:val="single"/>
              </w:rPr>
              <w:t xml:space="preserve">    </w:t>
            </w:r>
            <w:r>
              <w:rPr>
                <w:szCs w:val="21"/>
              </w:rPr>
              <w:t xml:space="preserve">     范围：</w:t>
            </w:r>
            <w:r>
              <w:rPr>
                <w:rFonts w:hint="eastAsia"/>
                <w:szCs w:val="21"/>
                <w:lang w:eastAsia="zh-CN"/>
              </w:rPr>
              <w:t>□</w:t>
            </w:r>
            <w:r>
              <w:rPr>
                <w:szCs w:val="21"/>
              </w:rPr>
              <w:t xml:space="preserve">国内    </w:t>
            </w:r>
            <w:r>
              <w:rPr>
                <w:rFonts w:hint="eastAsia"/>
                <w:szCs w:val="21"/>
              </w:rPr>
              <w:t>□</w:t>
            </w:r>
            <w:r>
              <w:rPr>
                <w:szCs w:val="21"/>
              </w:rPr>
              <w:t>国内外</w:t>
            </w:r>
          </w:p>
          <w:p w14:paraId="40CD22CB">
            <w:pPr>
              <w:spacing w:before="60" w:line="360" w:lineRule="auto"/>
              <w:ind w:left="419"/>
              <w:rPr>
                <w:color w:val="FF0000"/>
                <w:szCs w:val="21"/>
              </w:rPr>
            </w:pPr>
          </w:p>
          <w:p w14:paraId="4C431EE7">
            <w:pPr>
              <w:spacing w:before="60" w:line="360" w:lineRule="auto"/>
              <w:ind w:left="419"/>
              <w:rPr>
                <w:color w:val="FF0000"/>
                <w:szCs w:val="21"/>
              </w:rPr>
            </w:pPr>
            <w:r>
              <w:rPr>
                <w:color w:val="FF0000"/>
                <w:szCs w:val="21"/>
              </w:rPr>
              <w:t>请将您选择的查新目的与查新范围字体红色标记，必选</w:t>
            </w:r>
          </w:p>
        </w:tc>
      </w:tr>
      <w:tr w14:paraId="22B02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jc w:val="center"/>
        </w:trPr>
        <w:tc>
          <w:tcPr>
            <w:tcW w:w="9583" w:type="dxa"/>
            <w:gridSpan w:val="8"/>
            <w:noWrap w:val="0"/>
            <w:vAlign w:val="top"/>
          </w:tcPr>
          <w:p w14:paraId="6348C48A">
            <w:pPr>
              <w:spacing w:before="60" w:after="60"/>
              <w:ind w:left="-2"/>
              <w:rPr>
                <w:szCs w:val="21"/>
              </w:rPr>
            </w:pPr>
            <w:r>
              <w:rPr>
                <w:b/>
                <w:szCs w:val="21"/>
              </w:rPr>
              <w:t>二、查新项目的科学技术要点</w:t>
            </w:r>
            <w:r>
              <w:rPr>
                <w:szCs w:val="21"/>
              </w:rPr>
              <w:t>（充分反映出查新项目的概貌，简述项目的背景、技术问题、解决技术问题所采用的方案、主要技术特征、技术参数或指标、应用范围等相关技术内容。如填写不下，请另附）</w:t>
            </w:r>
          </w:p>
          <w:p w14:paraId="4482D203">
            <w:pPr>
              <w:snapToGrid w:val="0"/>
              <w:ind w:firstLine="420" w:firstLineChars="200"/>
              <w:rPr>
                <w:rFonts w:hint="eastAsia"/>
                <w:color w:val="FF0000"/>
                <w:szCs w:val="21"/>
              </w:rPr>
            </w:pPr>
            <w:r>
              <w:rPr>
                <w:color w:val="FF0000"/>
                <w:szCs w:val="21"/>
              </w:rPr>
              <w:t>必填，请您根据以上要点填写</w:t>
            </w:r>
          </w:p>
          <w:p w14:paraId="360B5551">
            <w:pPr>
              <w:snapToGrid w:val="0"/>
              <w:ind w:firstLine="420" w:firstLineChars="200"/>
              <w:rPr>
                <w:b/>
                <w:szCs w:val="21"/>
              </w:rPr>
            </w:pPr>
            <w:r>
              <w:rPr>
                <w:rFonts w:hint="eastAsia"/>
                <w:color w:val="FF0000"/>
                <w:szCs w:val="21"/>
              </w:rPr>
              <w:t>此处，可填写该查新项目的研究背景、目的意义、研究内容、技术要点、工艺等内容，篇幅控制1000-2000字左右。</w:t>
            </w:r>
          </w:p>
        </w:tc>
      </w:tr>
      <w:tr w14:paraId="4F5D1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8" w:hRule="atLeast"/>
          <w:jc w:val="center"/>
        </w:trPr>
        <w:tc>
          <w:tcPr>
            <w:tcW w:w="9583" w:type="dxa"/>
            <w:gridSpan w:val="8"/>
            <w:noWrap w:val="0"/>
            <w:vAlign w:val="top"/>
          </w:tcPr>
          <w:p w14:paraId="69F542A9">
            <w:pPr>
              <w:spacing w:before="60" w:after="60"/>
              <w:ind w:left="-2"/>
              <w:rPr>
                <w:szCs w:val="21"/>
              </w:rPr>
            </w:pPr>
            <w:r>
              <w:rPr>
                <w:b/>
                <w:szCs w:val="21"/>
              </w:rPr>
              <w:t>三、查新点</w:t>
            </w:r>
            <w:r>
              <w:rPr>
                <w:szCs w:val="21"/>
              </w:rPr>
              <w:t>（着重说明该查新课题要求查证新颖性的部分，即体现该项目新颖性的全部技术创新点，如涉及内容、理论、方法、结构、工艺、配方、技术指标等方面的创新点，如填写不下，请另附）</w:t>
            </w:r>
          </w:p>
          <w:p w14:paraId="659CC902">
            <w:pPr>
              <w:snapToGrid w:val="0"/>
              <w:ind w:firstLine="422" w:firstLineChars="200"/>
              <w:rPr>
                <w:rFonts w:hint="eastAsia"/>
                <w:b/>
                <w:color w:val="FF0000"/>
                <w:szCs w:val="21"/>
              </w:rPr>
            </w:pPr>
          </w:p>
          <w:p w14:paraId="748567B1">
            <w:pPr>
              <w:snapToGrid w:val="0"/>
              <w:ind w:firstLine="420" w:firstLineChars="200"/>
              <w:rPr>
                <w:rFonts w:hint="eastAsia"/>
                <w:color w:val="FF0000"/>
                <w:szCs w:val="21"/>
              </w:rPr>
            </w:pPr>
            <w:r>
              <w:rPr>
                <w:rFonts w:hint="eastAsia"/>
                <w:color w:val="FF0000"/>
                <w:szCs w:val="21"/>
                <w:lang w:val="en-US" w:eastAsia="zh-CN"/>
              </w:rPr>
              <w:t>1、查新点是</w:t>
            </w:r>
            <w:r>
              <w:rPr>
                <w:rFonts w:hint="eastAsia"/>
                <w:color w:val="FF0000"/>
                <w:szCs w:val="21"/>
              </w:rPr>
              <w:t>项目负责人通过专业知识判断，用2-3句非常精炼的语句，表达该查新项目与已有研究的区别点（查新点），该区别点可以是技新术、新方法、新内容、新工艺、新配方、新指标、新理论，但在数据库（国内数据库主要包括CNKI、万方、维普、国知局专利数据库等；国外数据库主要包括WOS、</w:t>
            </w:r>
            <w:r>
              <w:rPr>
                <w:color w:val="FF0000"/>
                <w:szCs w:val="21"/>
              </w:rPr>
              <w:t>Scopus</w:t>
            </w:r>
            <w:r>
              <w:rPr>
                <w:rFonts w:hint="eastAsia"/>
                <w:color w:val="FF0000"/>
                <w:szCs w:val="21"/>
              </w:rPr>
              <w:t>、EI、Derwent Innovations Index、</w:t>
            </w:r>
            <w:r>
              <w:rPr>
                <w:color w:val="FF0000"/>
                <w:szCs w:val="21"/>
              </w:rPr>
              <w:t>Elsevier</w:t>
            </w:r>
            <w:r>
              <w:rPr>
                <w:rFonts w:hint="eastAsia"/>
                <w:color w:val="FF0000"/>
                <w:szCs w:val="21"/>
              </w:rPr>
              <w:t>、Willy、Springer等摘要/全文数据库）检索对比时，不能出现与之相同的文献，否则查新点将会</w:t>
            </w:r>
            <w:r>
              <w:rPr>
                <w:rFonts w:hint="eastAsia"/>
                <w:color w:val="FF0000"/>
                <w:szCs w:val="21"/>
                <w:lang w:val="en-US" w:eastAsia="zh-CN"/>
              </w:rPr>
              <w:t>被</w:t>
            </w:r>
            <w:r>
              <w:rPr>
                <w:rFonts w:hint="eastAsia"/>
                <w:color w:val="FF0000"/>
                <w:szCs w:val="21"/>
              </w:rPr>
              <w:t>否掉，需要重新提供查新点。</w:t>
            </w:r>
          </w:p>
          <w:p w14:paraId="4D2F51C1">
            <w:pPr>
              <w:snapToGrid w:val="0"/>
              <w:spacing w:before="156" w:beforeLines="50"/>
              <w:ind w:firstLine="420" w:firstLineChars="200"/>
              <w:rPr>
                <w:rFonts w:hint="eastAsia"/>
                <w:color w:val="FF0000"/>
                <w:szCs w:val="21"/>
              </w:rPr>
            </w:pPr>
            <w:r>
              <w:rPr>
                <w:rFonts w:hint="eastAsia"/>
                <w:color w:val="FF0000"/>
                <w:szCs w:val="21"/>
                <w:lang w:val="en-US" w:eastAsia="zh-CN"/>
              </w:rPr>
              <w:t>2、关于</w:t>
            </w:r>
            <w:r>
              <w:rPr>
                <w:rFonts w:hint="eastAsia"/>
                <w:color w:val="FF0000"/>
                <w:szCs w:val="21"/>
              </w:rPr>
              <w:t>查新点及结论：科技查新仅能就项目的新颖性进行文献查证，不涉及先进性、创造性以及水平结论和技术评价。因此诸如“创新、率先、首先、首次、首创、领先、创造性、先进、美国 90 年代水平、国内领先、填补空白”等词汇，“为XXX提供了科技支撑、为XXX奠定了理论基础、为XXX拓宽了技术路径等描述”，“显著地（涉及统计学的显著可以保留）、有效地、极大的”等形容词，既不能写入查新点，也不会在查新结论中体现。</w:t>
            </w:r>
          </w:p>
          <w:p w14:paraId="28DA30B9">
            <w:pPr>
              <w:snapToGrid w:val="0"/>
              <w:ind w:firstLine="420" w:firstLineChars="200"/>
              <w:rPr>
                <w:rFonts w:hint="eastAsia"/>
                <w:color w:val="FF0000"/>
                <w:szCs w:val="21"/>
              </w:rPr>
            </w:pPr>
          </w:p>
          <w:p w14:paraId="5F01E285">
            <w:pPr>
              <w:snapToGrid w:val="0"/>
              <w:ind w:firstLine="420" w:firstLineChars="200"/>
              <w:rPr>
                <w:rFonts w:hint="eastAsia"/>
                <w:color w:val="FF0000"/>
                <w:szCs w:val="21"/>
                <w:lang w:val="en-US" w:eastAsia="zh-CN"/>
              </w:rPr>
            </w:pPr>
            <w:r>
              <w:rPr>
                <w:rFonts w:hint="eastAsia"/>
                <w:color w:val="FF0000"/>
                <w:szCs w:val="21"/>
                <w:lang w:val="en-US" w:eastAsia="zh-CN"/>
              </w:rPr>
              <w:t>3、根据GB/T 32003-2015《科技查新技术规范》，查新员应该保持公正、客观、独立的原则，仅能对查新点格式规范性进行沟通，无法对查新点内容以及细节的撰写出具意见。</w:t>
            </w:r>
          </w:p>
          <w:p w14:paraId="2A339C8F">
            <w:pPr>
              <w:snapToGrid w:val="0"/>
              <w:ind w:firstLine="420" w:firstLineChars="200"/>
              <w:rPr>
                <w:rFonts w:hint="eastAsia"/>
                <w:color w:val="FF0000"/>
                <w:szCs w:val="21"/>
                <w:lang w:val="en-US" w:eastAsia="zh-CN"/>
              </w:rPr>
            </w:pPr>
          </w:p>
          <w:p w14:paraId="7D307AF0">
            <w:pPr>
              <w:snapToGrid w:val="0"/>
              <w:ind w:firstLine="420" w:firstLineChars="200"/>
              <w:rPr>
                <w:rFonts w:hint="default"/>
                <w:color w:val="FF0000"/>
                <w:szCs w:val="21"/>
                <w:lang w:val="en-US" w:eastAsia="zh-CN"/>
              </w:rPr>
            </w:pPr>
            <w:r>
              <w:rPr>
                <w:rFonts w:hint="eastAsia"/>
                <w:color w:val="FF0000"/>
                <w:szCs w:val="21"/>
                <w:lang w:val="en-US" w:eastAsia="zh-CN"/>
              </w:rPr>
              <w:t>4、每项委托查新点原则上不超过6个，超过之后需要分报告处理；查新点经确认后，不能随意更改，否则按照新的查新收取费用。</w:t>
            </w:r>
          </w:p>
          <w:p w14:paraId="4E7B2316">
            <w:pPr>
              <w:snapToGrid w:val="0"/>
              <w:ind w:firstLine="420" w:firstLineChars="200"/>
              <w:rPr>
                <w:rFonts w:hint="default"/>
                <w:color w:val="FF0000"/>
                <w:szCs w:val="21"/>
                <w:lang w:val="en-US" w:eastAsia="zh-CN"/>
              </w:rPr>
            </w:pPr>
          </w:p>
          <w:p w14:paraId="58036211">
            <w:pPr>
              <w:snapToGrid w:val="0"/>
              <w:ind w:firstLine="420" w:firstLineChars="200"/>
              <w:rPr>
                <w:rFonts w:hint="default"/>
                <w:color w:val="FF0000"/>
                <w:szCs w:val="21"/>
                <w:lang w:val="en-US" w:eastAsia="zh-CN"/>
              </w:rPr>
            </w:pPr>
          </w:p>
          <w:p w14:paraId="4F3A2251">
            <w:pPr>
              <w:snapToGrid w:val="0"/>
              <w:ind w:firstLine="420" w:firstLineChars="200"/>
              <w:rPr>
                <w:rFonts w:hint="eastAsia"/>
                <w:color w:val="FF0000"/>
                <w:szCs w:val="21"/>
              </w:rPr>
            </w:pPr>
            <w:r>
              <w:rPr>
                <w:rFonts w:hint="eastAsia"/>
                <w:color w:val="FF0000"/>
                <w:szCs w:val="21"/>
              </w:rPr>
              <w:t>查新点撰写举例如下：</w:t>
            </w:r>
          </w:p>
          <w:p w14:paraId="3DF20157">
            <w:pPr>
              <w:snapToGrid w:val="0"/>
              <w:ind w:firstLine="420" w:firstLineChars="200"/>
              <w:rPr>
                <w:rFonts w:hint="eastAsia"/>
                <w:color w:val="FF0000"/>
                <w:szCs w:val="21"/>
              </w:rPr>
            </w:pPr>
          </w:p>
          <w:p w14:paraId="60484FFF">
            <w:pPr>
              <w:snapToGrid w:val="0"/>
              <w:spacing w:before="156" w:beforeLines="50"/>
              <w:ind w:firstLine="420" w:firstLineChars="200"/>
              <w:rPr>
                <w:rFonts w:hint="eastAsia"/>
                <w:color w:val="FF0000"/>
                <w:szCs w:val="21"/>
              </w:rPr>
            </w:pPr>
            <w:r>
              <w:rPr>
                <w:rFonts w:hint="eastAsia"/>
                <w:color w:val="FF0000"/>
                <w:szCs w:val="21"/>
              </w:rPr>
              <w:t>例1、利用空间点格局方法，研究西北地区高寒退化草地针茅种群种间关联性（资源环境领域）；</w:t>
            </w:r>
          </w:p>
          <w:p w14:paraId="7EA97988">
            <w:pPr>
              <w:snapToGrid w:val="0"/>
              <w:spacing w:before="156" w:beforeLines="50"/>
              <w:ind w:firstLine="420" w:firstLineChars="200"/>
              <w:rPr>
                <w:rFonts w:hint="eastAsia"/>
                <w:color w:val="FF0000"/>
                <w:szCs w:val="21"/>
              </w:rPr>
            </w:pPr>
            <w:r>
              <w:rPr>
                <w:rFonts w:hint="eastAsia"/>
                <w:color w:val="FF0000"/>
                <w:szCs w:val="21"/>
              </w:rPr>
              <w:t>例2、运用运输经济弹性理论，采用回归拟合分析方法，探讨我国铁路运输式货运量的变化规律，寻找货运量与经济发展的函数关系（人文社科领域）；</w:t>
            </w:r>
          </w:p>
          <w:p w14:paraId="49E17429">
            <w:pPr>
              <w:snapToGrid w:val="0"/>
              <w:spacing w:before="156" w:beforeLines="50"/>
              <w:ind w:firstLine="420" w:firstLineChars="200"/>
              <w:rPr>
                <w:rFonts w:hint="eastAsia" w:eastAsia="宋体"/>
                <w:color w:val="FF0000"/>
                <w:szCs w:val="21"/>
                <w:lang w:eastAsia="zh-CN"/>
              </w:rPr>
            </w:pPr>
            <w:r>
              <w:rPr>
                <w:rFonts w:hint="eastAsia"/>
                <w:color w:val="FF0000"/>
                <w:szCs w:val="21"/>
              </w:rPr>
              <w:t>例3、提出放射线作用下对肿瘤细胞靶向治疗的分子机制和策略（物理化学领域）</w:t>
            </w:r>
            <w:r>
              <w:rPr>
                <w:rFonts w:hint="eastAsia"/>
                <w:color w:val="FF0000"/>
                <w:szCs w:val="21"/>
                <w:lang w:eastAsia="zh-CN"/>
              </w:rPr>
              <w:t>；</w:t>
            </w:r>
          </w:p>
          <w:p w14:paraId="29B91054">
            <w:pPr>
              <w:snapToGrid w:val="0"/>
              <w:spacing w:before="156" w:beforeLines="50"/>
              <w:ind w:firstLine="420" w:firstLineChars="200"/>
              <w:rPr>
                <w:rFonts w:hint="eastAsia" w:eastAsia="宋体"/>
                <w:color w:val="FF0000"/>
                <w:szCs w:val="21"/>
                <w:lang w:eastAsia="zh-CN"/>
              </w:rPr>
            </w:pPr>
            <w:r>
              <w:rPr>
                <w:rFonts w:hint="eastAsia"/>
                <w:color w:val="FF0000"/>
                <w:szCs w:val="21"/>
              </w:rPr>
              <w:t>例4、阐述高含盐量土壤受降温和增加含水量变化导致的剪切强度的提高和降低与降温引起土壤基质吸力和盐结晶作用力之间的机理关系（工程机械领域）</w:t>
            </w:r>
            <w:r>
              <w:rPr>
                <w:rFonts w:hint="eastAsia"/>
                <w:color w:val="FF0000"/>
                <w:szCs w:val="21"/>
                <w:lang w:eastAsia="zh-CN"/>
              </w:rPr>
              <w:t>；</w:t>
            </w:r>
          </w:p>
          <w:p w14:paraId="108AE505">
            <w:pPr>
              <w:snapToGrid w:val="0"/>
              <w:spacing w:before="156" w:beforeLines="50"/>
              <w:ind w:firstLine="420" w:firstLineChars="200"/>
              <w:rPr>
                <w:rFonts w:hint="eastAsia"/>
                <w:color w:val="FF0000"/>
                <w:szCs w:val="21"/>
              </w:rPr>
            </w:pPr>
            <w:r>
              <w:rPr>
                <w:rFonts w:hint="eastAsia"/>
                <w:color w:val="FF0000"/>
                <w:szCs w:val="21"/>
              </w:rPr>
              <w:t>例5、通过臭氧水杀菌处理、阶梯温度速冻（控制温度在零下35-55度）、螺旋升温（控制温度在零上40度-45度，在20-27度，在30-38度，时间约42小时）、变压干燥技术（气压采用蜗旋对流控制，压力控制范围500-200pa）、研发出能保持鲜枸杞形态、颜色及功效的微冻干枸杞加工工艺，其成品的水分含量为7-13%，比烘干枸杞水份含量低3%左右（技术指标类别）；</w:t>
            </w:r>
          </w:p>
          <w:p w14:paraId="0249734E">
            <w:pPr>
              <w:snapToGrid w:val="0"/>
              <w:spacing w:before="156" w:beforeLines="50"/>
              <w:ind w:firstLine="420" w:firstLineChars="200"/>
              <w:rPr>
                <w:rFonts w:hint="eastAsia" w:eastAsia="宋体"/>
                <w:color w:val="FF0000"/>
                <w:szCs w:val="21"/>
                <w:lang w:eastAsia="zh-CN"/>
              </w:rPr>
            </w:pPr>
            <w:r>
              <w:rPr>
                <w:rFonts w:hint="eastAsia"/>
                <w:color w:val="FF0000"/>
                <w:szCs w:val="21"/>
              </w:rPr>
              <w:t>例6、采用耐硫酸低温露点腐蚀钢（ND钢）为设备主体材料，在表面处理的抛丸钢砂中加入45%碳化硅颗粒；在喷涂防腐层中加入80%锌粉，形成表面密闭、隔绝介质的脱硫除尘静电设备（工艺配方类别）</w:t>
            </w:r>
            <w:r>
              <w:rPr>
                <w:rFonts w:hint="eastAsia"/>
                <w:color w:val="FF0000"/>
                <w:szCs w:val="21"/>
                <w:lang w:eastAsia="zh-CN"/>
              </w:rPr>
              <w:t>。</w:t>
            </w:r>
          </w:p>
          <w:p w14:paraId="0992EB86">
            <w:pPr>
              <w:snapToGrid w:val="0"/>
              <w:spacing w:before="156" w:beforeLines="50"/>
              <w:ind w:firstLine="420" w:firstLineChars="200"/>
              <w:rPr>
                <w:rFonts w:hint="eastAsia"/>
                <w:color w:val="FF0000"/>
                <w:szCs w:val="21"/>
              </w:rPr>
            </w:pPr>
          </w:p>
          <w:p w14:paraId="766AF98C">
            <w:pPr>
              <w:rPr>
                <w:szCs w:val="21"/>
              </w:rPr>
            </w:pPr>
          </w:p>
        </w:tc>
      </w:tr>
      <w:tr w14:paraId="09D7C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7" w:hRule="atLeast"/>
          <w:jc w:val="center"/>
        </w:trPr>
        <w:tc>
          <w:tcPr>
            <w:tcW w:w="9583" w:type="dxa"/>
            <w:gridSpan w:val="8"/>
            <w:noWrap w:val="0"/>
            <w:vAlign w:val="top"/>
          </w:tcPr>
          <w:p w14:paraId="0D31B77B">
            <w:pPr>
              <w:spacing w:before="60" w:after="60"/>
              <w:ind w:left="-2"/>
              <w:rPr>
                <w:b/>
                <w:szCs w:val="21"/>
              </w:rPr>
            </w:pPr>
            <w:r>
              <w:rPr>
                <w:b/>
                <w:szCs w:val="21"/>
              </w:rPr>
              <w:t>四、委托人提供的资料</w:t>
            </w:r>
          </w:p>
          <w:p w14:paraId="017D29E1">
            <w:pPr>
              <w:numPr>
                <w:ilvl w:val="0"/>
                <w:numId w:val="1"/>
              </w:numPr>
              <w:spacing w:before="60" w:after="60"/>
              <w:rPr>
                <w:color w:val="000000"/>
                <w:szCs w:val="21"/>
              </w:rPr>
            </w:pPr>
            <w:r>
              <w:rPr>
                <w:rFonts w:hint="eastAsia"/>
                <w:szCs w:val="21"/>
              </w:rPr>
              <w:t>查新课题</w:t>
            </w:r>
            <w:r>
              <w:rPr>
                <w:color w:val="000000"/>
                <w:szCs w:val="21"/>
              </w:rPr>
              <w:t>主要人员名单（必填）</w:t>
            </w:r>
            <w:r>
              <w:rPr>
                <w:rFonts w:hint="eastAsia"/>
                <w:color w:val="000000"/>
                <w:szCs w:val="21"/>
              </w:rPr>
              <w:t>（</w:t>
            </w:r>
            <w:r>
              <w:rPr>
                <w:rFonts w:hint="eastAsia"/>
                <w:color w:val="FF0000"/>
                <w:szCs w:val="21"/>
              </w:rPr>
              <w:t>人员名单不出现在查新报告中，仅用于对比是否为查新课题成果</w:t>
            </w:r>
            <w:r>
              <w:rPr>
                <w:rFonts w:hint="eastAsia"/>
                <w:color w:val="000000"/>
                <w:szCs w:val="21"/>
              </w:rPr>
              <w:t>）</w:t>
            </w:r>
          </w:p>
          <w:p w14:paraId="2E16E727">
            <w:pPr>
              <w:snapToGrid w:val="0"/>
              <w:ind w:firstLine="420" w:firstLineChars="200"/>
              <w:rPr>
                <w:color w:val="FF0000"/>
                <w:szCs w:val="21"/>
              </w:rPr>
            </w:pPr>
            <w:r>
              <w:rPr>
                <w:color w:val="FF0000"/>
                <w:szCs w:val="21"/>
              </w:rPr>
              <w:t>只需填写姓名即可，非委托单位人员，请注明单位名称</w:t>
            </w:r>
          </w:p>
          <w:p w14:paraId="3A29EC7E">
            <w:pPr>
              <w:numPr>
                <w:ilvl w:val="0"/>
                <w:numId w:val="1"/>
              </w:numPr>
              <w:spacing w:before="60" w:after="60"/>
              <w:rPr>
                <w:szCs w:val="21"/>
              </w:rPr>
            </w:pPr>
            <w:r>
              <w:rPr>
                <w:rFonts w:hint="eastAsia"/>
                <w:szCs w:val="21"/>
              </w:rPr>
              <w:t>查新课题</w:t>
            </w:r>
            <w:r>
              <w:rPr>
                <w:szCs w:val="21"/>
              </w:rPr>
              <w:t>主要学术论文题录、专利信息等</w:t>
            </w:r>
            <w:r>
              <w:rPr>
                <w:rFonts w:hint="eastAsia"/>
                <w:szCs w:val="21"/>
              </w:rPr>
              <w:t>其他成果</w:t>
            </w:r>
          </w:p>
          <w:p w14:paraId="291BB7FC">
            <w:pPr>
              <w:spacing w:before="60" w:after="60"/>
              <w:ind w:left="778"/>
              <w:rPr>
                <w:rFonts w:hint="default" w:ascii="Times New Roman" w:hAnsi="Times New Roman" w:eastAsia="宋体" w:cs="Times New Roman"/>
                <w:color w:val="auto"/>
                <w:szCs w:val="21"/>
                <w:lang w:val="en-US"/>
              </w:rPr>
            </w:pPr>
            <w:r>
              <w:rPr>
                <w:rFonts w:hint="eastAsia" w:ascii="Times New Roman" w:hAnsi="Times New Roman" w:eastAsia="宋体" w:cs="Times New Roman"/>
                <w:szCs w:val="21"/>
              </w:rPr>
              <w:t>成果鉴定</w:t>
            </w:r>
            <w:r>
              <w:rPr>
                <w:rFonts w:hint="eastAsia" w:ascii="Times New Roman" w:hAnsi="Times New Roman" w:eastAsia="宋体" w:cs="Times New Roman"/>
                <w:szCs w:val="21"/>
                <w:lang w:val="en-US" w:eastAsia="zh-CN"/>
              </w:rPr>
              <w:t xml:space="preserve">  （</w:t>
            </w:r>
            <w:r>
              <w:rPr>
                <w:rFonts w:hint="eastAsia" w:ascii="Times New Roman" w:hAnsi="Times New Roman" w:eastAsia="宋体" w:cs="Times New Roman"/>
                <w:color w:val="FF0000"/>
                <w:szCs w:val="21"/>
                <w:highlight w:val="none"/>
                <w:u w:val="none"/>
                <w:lang w:val="en-US" w:eastAsia="zh-CN"/>
              </w:rPr>
              <w:t>如有相关资料需要提供，主要添加查新相关成果</w:t>
            </w:r>
            <w:r>
              <w:rPr>
                <w:rFonts w:hint="eastAsia" w:ascii="Times New Roman" w:hAnsi="Times New Roman" w:eastAsia="宋体" w:cs="Times New Roman"/>
                <w:szCs w:val="21"/>
                <w:lang w:val="en-US" w:eastAsia="zh-CN"/>
              </w:rPr>
              <w:t>）</w:t>
            </w:r>
          </w:p>
          <w:p w14:paraId="318ABD13">
            <w:pPr>
              <w:numPr>
                <w:ilvl w:val="0"/>
                <w:numId w:val="1"/>
              </w:numPr>
              <w:spacing w:before="60" w:after="60"/>
              <w:rPr>
                <w:szCs w:val="21"/>
              </w:rPr>
            </w:pPr>
            <w:r>
              <w:rPr>
                <w:rFonts w:hint="eastAsia"/>
                <w:szCs w:val="21"/>
              </w:rPr>
              <w:t>查新课题</w:t>
            </w:r>
            <w:r>
              <w:rPr>
                <w:szCs w:val="21"/>
              </w:rPr>
              <w:t>其他材料，包括不限于开题报告、研制报告、总结报告、成果申报表、专利说明书、产品样本、检测报告、用户报告、技术报告、可行性报告、报奖材料等，中心将为您保密</w:t>
            </w:r>
          </w:p>
          <w:p w14:paraId="01D3C232">
            <w:pPr>
              <w:snapToGrid w:val="0"/>
              <w:ind w:firstLine="420" w:firstLineChars="200"/>
              <w:rPr>
                <w:rFonts w:hint="eastAsia"/>
                <w:color w:val="FF0000"/>
                <w:szCs w:val="21"/>
              </w:rPr>
            </w:pPr>
            <w:r>
              <w:rPr>
                <w:color w:val="FF0000"/>
                <w:szCs w:val="21"/>
              </w:rPr>
              <w:t>1必填，2、3项有助于查新报告的快速进行，如有相关资料请尽可能提供。</w:t>
            </w:r>
          </w:p>
          <w:p w14:paraId="3E798F60">
            <w:pPr>
              <w:snapToGrid w:val="0"/>
              <w:ind w:firstLine="420" w:firstLineChars="200"/>
              <w:rPr>
                <w:rFonts w:hint="eastAsia"/>
                <w:color w:val="FF0000"/>
                <w:szCs w:val="21"/>
              </w:rPr>
            </w:pPr>
          </w:p>
          <w:p w14:paraId="478D1B96">
            <w:pPr>
              <w:snapToGrid w:val="0"/>
              <w:ind w:firstLine="420" w:firstLineChars="200"/>
              <w:rPr>
                <w:szCs w:val="21"/>
              </w:rPr>
            </w:pPr>
          </w:p>
        </w:tc>
      </w:tr>
      <w:tr w14:paraId="7EC50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83" w:type="dxa"/>
            <w:gridSpan w:val="8"/>
            <w:noWrap w:val="0"/>
            <w:vAlign w:val="top"/>
          </w:tcPr>
          <w:p w14:paraId="5F6F6FCA">
            <w:pPr>
              <w:spacing w:before="60" w:after="60"/>
              <w:ind w:left="-2"/>
              <w:rPr>
                <w:b/>
                <w:szCs w:val="21"/>
              </w:rPr>
            </w:pPr>
            <w:r>
              <w:rPr>
                <w:b/>
                <w:szCs w:val="21"/>
              </w:rPr>
              <w:t>五、中英文检索词</w:t>
            </w:r>
          </w:p>
          <w:p w14:paraId="3C6D8426">
            <w:pPr>
              <w:spacing w:before="60" w:after="60" w:line="300" w:lineRule="auto"/>
              <w:ind w:firstLine="527"/>
              <w:rPr>
                <w:color w:val="FF0000"/>
                <w:szCs w:val="21"/>
              </w:rPr>
            </w:pPr>
            <w:r>
              <w:rPr>
                <w:szCs w:val="21"/>
              </w:rPr>
              <w:t>中文：</w:t>
            </w:r>
            <w:r>
              <w:rPr>
                <w:color w:val="FF0000"/>
                <w:szCs w:val="21"/>
              </w:rPr>
              <w:t>必填</w:t>
            </w:r>
          </w:p>
          <w:p w14:paraId="392F74CA">
            <w:pPr>
              <w:spacing w:before="60" w:after="60" w:line="300" w:lineRule="auto"/>
              <w:ind w:firstLine="527"/>
              <w:rPr>
                <w:szCs w:val="21"/>
              </w:rPr>
            </w:pPr>
          </w:p>
          <w:p w14:paraId="0CDCFA84">
            <w:pPr>
              <w:spacing w:before="60" w:after="60" w:line="300" w:lineRule="auto"/>
              <w:ind w:firstLine="527"/>
              <w:rPr>
                <w:rFonts w:hint="eastAsia" w:eastAsia="宋体"/>
                <w:color w:val="FF0000"/>
                <w:szCs w:val="21"/>
                <w:lang w:eastAsia="zh-CN"/>
              </w:rPr>
            </w:pPr>
            <w:r>
              <w:rPr>
                <w:szCs w:val="21"/>
              </w:rPr>
              <w:t>英文：</w:t>
            </w:r>
            <w:r>
              <w:rPr>
                <w:color w:val="FF0000"/>
                <w:szCs w:val="21"/>
              </w:rPr>
              <w:t>国内外查新必填</w:t>
            </w:r>
            <w:r>
              <w:rPr>
                <w:rFonts w:hint="eastAsia"/>
                <w:color w:val="FF0000"/>
                <w:szCs w:val="21"/>
                <w:lang w:eastAsia="zh-CN"/>
              </w:rPr>
              <w:t>（</w:t>
            </w:r>
            <w:r>
              <w:rPr>
                <w:rFonts w:hint="eastAsia"/>
                <w:color w:val="FF0000"/>
                <w:szCs w:val="21"/>
                <w:lang w:val="en-US" w:eastAsia="zh-CN"/>
              </w:rPr>
              <w:t>涉及专业技术用语，请务必准确翻译</w:t>
            </w:r>
            <w:r>
              <w:rPr>
                <w:rFonts w:hint="eastAsia"/>
                <w:color w:val="FF0000"/>
                <w:szCs w:val="21"/>
                <w:lang w:eastAsia="zh-CN"/>
              </w:rPr>
              <w:t>）</w:t>
            </w:r>
          </w:p>
          <w:p w14:paraId="1BEBE3DA">
            <w:pPr>
              <w:spacing w:before="60" w:after="60" w:line="300" w:lineRule="auto"/>
              <w:rPr>
                <w:szCs w:val="21"/>
              </w:rPr>
            </w:pPr>
          </w:p>
        </w:tc>
      </w:tr>
      <w:tr w14:paraId="6E3C3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83" w:type="dxa"/>
            <w:gridSpan w:val="8"/>
            <w:noWrap w:val="0"/>
            <w:vAlign w:val="top"/>
          </w:tcPr>
          <w:p w14:paraId="08CFA9C3">
            <w:pPr>
              <w:spacing w:before="60" w:after="60"/>
              <w:ind w:left="-2"/>
              <w:rPr>
                <w:b/>
                <w:szCs w:val="21"/>
              </w:rPr>
            </w:pPr>
            <w:r>
              <w:rPr>
                <w:b/>
                <w:szCs w:val="21"/>
              </w:rPr>
              <w:t>六、委托时间与报告完成时间</w:t>
            </w:r>
          </w:p>
          <w:p w14:paraId="222118F9">
            <w:pPr>
              <w:spacing w:before="60" w:after="60"/>
              <w:ind w:left="418"/>
              <w:rPr>
                <w:rFonts w:ascii="Times New Roman" w:hAnsi="Times New Roman" w:eastAsia="宋体" w:cs="Times New Roman"/>
                <w:color w:val="FF0000"/>
                <w:szCs w:val="21"/>
              </w:rPr>
            </w:pPr>
            <w:r>
              <w:rPr>
                <w:rFonts w:ascii="Times New Roman" w:hAnsi="Times New Roman" w:eastAsia="宋体" w:cs="Times New Roman"/>
                <w:szCs w:val="21"/>
              </w:rPr>
              <w:t>希望获取报告时间：</w:t>
            </w:r>
            <w:r>
              <w:rPr>
                <w:rFonts w:hint="eastAsia" w:ascii="Times New Roman" w:hAnsi="Times New Roman" w:eastAsia="宋体" w:cs="Times New Roman"/>
                <w:color w:val="FF0000"/>
                <w:szCs w:val="21"/>
                <w:lang w:val="en-US" w:eastAsia="zh-CN"/>
              </w:rPr>
              <w:t xml:space="preserve">  </w:t>
            </w:r>
            <w:r>
              <w:rPr>
                <w:rFonts w:ascii="Times New Roman" w:hAnsi="Times New Roman" w:eastAsia="宋体" w:cs="Times New Roman"/>
                <w:color w:val="FF0000"/>
                <w:szCs w:val="21"/>
              </w:rPr>
              <w:t>年  月  日（此时间为正式出具纸质盖章报告，快递寄出时间或扫描时间</w:t>
            </w:r>
            <w:r>
              <w:rPr>
                <w:rFonts w:hint="eastAsia" w:ascii="Times New Roman" w:hAnsi="Times New Roman" w:eastAsia="宋体" w:cs="Times New Roman"/>
                <w:color w:val="FF0000"/>
                <w:szCs w:val="21"/>
                <w:lang w:eastAsia="zh-CN"/>
              </w:rPr>
              <w:t>；</w:t>
            </w:r>
            <w:r>
              <w:rPr>
                <w:rFonts w:hint="eastAsia" w:ascii="Times New Roman" w:hAnsi="Times New Roman" w:eastAsia="宋体" w:cs="Times New Roman"/>
                <w:color w:val="FF0000"/>
                <w:szCs w:val="21"/>
                <w:lang w:val="en-US" w:eastAsia="zh-CN"/>
              </w:rPr>
              <w:t>报告获取时间</w:t>
            </w:r>
            <w:r>
              <w:rPr>
                <w:rFonts w:hint="eastAsia" w:ascii="Times New Roman" w:hAnsi="Times New Roman" w:eastAsia="宋体" w:cs="Times New Roman"/>
                <w:color w:val="FF0000"/>
                <w:szCs w:val="21"/>
                <w:u w:val="single"/>
                <w:lang w:val="en-US" w:eastAsia="zh-CN"/>
              </w:rPr>
              <w:t>请与平台填写时间保持</w:t>
            </w:r>
            <w:r>
              <w:rPr>
                <w:rFonts w:hint="eastAsia" w:ascii="Times New Roman" w:hAnsi="Times New Roman" w:eastAsia="宋体" w:cs="Times New Roman"/>
                <w:color w:val="FF0000"/>
                <w:szCs w:val="21"/>
                <w:lang w:val="en-US" w:eastAsia="zh-CN"/>
              </w:rPr>
              <w:t>一致，填写不一致时以平台时间为准</w:t>
            </w:r>
            <w:r>
              <w:rPr>
                <w:rFonts w:ascii="Times New Roman" w:hAnsi="Times New Roman" w:eastAsia="宋体" w:cs="Times New Roman"/>
                <w:color w:val="FF0000"/>
                <w:szCs w:val="21"/>
              </w:rPr>
              <w:t>）</w:t>
            </w:r>
          </w:p>
          <w:p w14:paraId="282F9F2D">
            <w:pPr>
              <w:spacing w:before="60" w:after="60"/>
              <w:ind w:left="418"/>
              <w:rPr>
                <w:szCs w:val="21"/>
              </w:rPr>
            </w:pPr>
            <w:r>
              <w:rPr>
                <w:szCs w:val="21"/>
              </w:rPr>
              <w:t>报告方式：</w:t>
            </w:r>
            <w:r>
              <w:rPr>
                <w:rFonts w:hint="eastAsia"/>
                <w:color w:val="FF0000"/>
                <w:szCs w:val="21"/>
                <w:highlight w:val="yellow"/>
              </w:rPr>
              <w:t>统一顺丰邮寄，查新费用已包含快递费用。</w:t>
            </w:r>
          </w:p>
          <w:p w14:paraId="22BA87F3">
            <w:pPr>
              <w:spacing w:before="60" w:after="60"/>
              <w:ind w:left="418"/>
              <w:rPr>
                <w:color w:val="FF0000"/>
                <w:szCs w:val="21"/>
              </w:rPr>
            </w:pPr>
            <w:r>
              <w:rPr>
                <w:color w:val="FF0000"/>
                <w:szCs w:val="21"/>
              </w:rPr>
              <w:t>纸质报告一式两份，如需增加，请注明具体数量</w:t>
            </w:r>
          </w:p>
          <w:p w14:paraId="42FD2635">
            <w:pPr>
              <w:spacing w:before="60" w:after="60"/>
              <w:ind w:left="418"/>
              <w:rPr>
                <w:szCs w:val="21"/>
              </w:rPr>
            </w:pPr>
            <w:r>
              <w:rPr>
                <w:color w:val="FF0000"/>
                <w:szCs w:val="21"/>
              </w:rPr>
              <w:t>委托时间与获取报告时间请参照收费标准中加急标准与加急费用，委托当天不计入工作时间。</w:t>
            </w:r>
          </w:p>
        </w:tc>
      </w:tr>
      <w:tr w14:paraId="2C269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83" w:type="dxa"/>
            <w:gridSpan w:val="8"/>
            <w:noWrap w:val="0"/>
            <w:vAlign w:val="top"/>
          </w:tcPr>
          <w:p w14:paraId="21710E3C">
            <w:pPr>
              <w:spacing w:before="60" w:after="60"/>
              <w:ind w:left="-2"/>
              <w:rPr>
                <w:b/>
                <w:szCs w:val="21"/>
                <w:highlight w:val="none"/>
              </w:rPr>
            </w:pPr>
            <w:r>
              <w:rPr>
                <w:b/>
                <w:szCs w:val="21"/>
                <w:highlight w:val="none"/>
              </w:rPr>
              <w:t>七、发票与付款信息</w:t>
            </w:r>
          </w:p>
          <w:p w14:paraId="6EED50AA">
            <w:pPr>
              <w:spacing w:before="60" w:after="60"/>
              <w:ind w:left="418"/>
              <w:rPr>
                <w:rFonts w:hint="eastAsia"/>
                <w:b/>
                <w:bCs/>
                <w:color w:val="FF0000"/>
                <w:szCs w:val="21"/>
                <w:highlight w:val="yellow"/>
                <w:lang w:val="en-US" w:eastAsia="zh-CN"/>
              </w:rPr>
            </w:pPr>
            <w:r>
              <w:rPr>
                <w:rFonts w:hint="eastAsia"/>
                <w:b/>
                <w:bCs/>
                <w:color w:val="FF0000"/>
                <w:szCs w:val="21"/>
                <w:highlight w:val="yellow"/>
                <w:lang w:val="en-US" w:eastAsia="zh-CN"/>
              </w:rPr>
              <w:t>缴费时间：</w:t>
            </w:r>
          </w:p>
          <w:p w14:paraId="02D7D18D">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查新报告付款需要在报告审核前完成，具体费用请在提交委托后与查新老师联系确定。</w:t>
            </w:r>
          </w:p>
          <w:p w14:paraId="06574AD2">
            <w:pPr>
              <w:spacing w:before="60" w:after="60"/>
              <w:ind w:left="418"/>
              <w:rPr>
                <w:rFonts w:hint="eastAsia"/>
                <w:b/>
                <w:bCs/>
                <w:color w:val="FF0000"/>
                <w:szCs w:val="21"/>
                <w:highlight w:val="yellow"/>
                <w:lang w:val="en-US" w:eastAsia="zh-CN"/>
              </w:rPr>
            </w:pPr>
            <w:r>
              <w:rPr>
                <w:rFonts w:hint="eastAsia"/>
                <w:b/>
                <w:bCs/>
                <w:color w:val="FF0000"/>
                <w:szCs w:val="21"/>
                <w:highlight w:val="yellow"/>
                <w:lang w:val="en-US" w:eastAsia="zh-CN"/>
              </w:rPr>
              <w:t>付款方式：</w:t>
            </w:r>
          </w:p>
          <w:p w14:paraId="1EC978BA">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1、单位公对公转账：请向贵单位财务借款至我单位对公账户，待我单位财务查收后，开具发票。</w:t>
            </w:r>
          </w:p>
          <w:p w14:paraId="22CDC16F">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2、个人对公转账：个人将费用（通过各银行手机网银、银行柜台，不支持微信、支付宝）转账至我单位对公账户，待我单位财务查证后，开具发票。须事先咨询贵单位财务，开发票后能否报销费用至个人。</w:t>
            </w:r>
          </w:p>
          <w:p w14:paraId="52072929">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3、公务卡扫码支付：向查新检索员索要付款二维码，使用微信或者支付宝绑定公务卡扫码支付（请仔细阅读二维码提示，此方式发票开具较慢，需要1-2个月左右</w:t>
            </w:r>
            <w:bookmarkStart w:id="2" w:name="_GoBack"/>
            <w:bookmarkEnd w:id="2"/>
            <w:r>
              <w:rPr>
                <w:rFonts w:hint="eastAsia"/>
                <w:color w:val="FF0000"/>
                <w:szCs w:val="21"/>
                <w:highlight w:val="none"/>
                <w:lang w:val="en-US" w:eastAsia="zh-CN"/>
              </w:rPr>
              <w:t>）</w:t>
            </w:r>
          </w:p>
          <w:p w14:paraId="4A853B5D">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注：选择何种方式缴费，请提前咨询贵单位财务，开具发票后不再办理发票作废、退款等事宜。</w:t>
            </w:r>
          </w:p>
          <w:p w14:paraId="77B768CB">
            <w:pPr>
              <w:spacing w:before="60" w:after="60"/>
              <w:ind w:left="418"/>
              <w:rPr>
                <w:rFonts w:hint="eastAsia"/>
                <w:b/>
                <w:bCs/>
                <w:color w:val="FF0000"/>
                <w:szCs w:val="21"/>
                <w:highlight w:val="yellow"/>
                <w:lang w:val="en-US" w:eastAsia="zh-CN"/>
              </w:rPr>
            </w:pPr>
            <w:r>
              <w:rPr>
                <w:rFonts w:hint="eastAsia"/>
                <w:b/>
                <w:bCs/>
                <w:color w:val="FF0000"/>
                <w:szCs w:val="21"/>
                <w:highlight w:val="yellow"/>
                <w:lang w:val="en-US" w:eastAsia="zh-CN"/>
              </w:rPr>
              <w:t>发票须知：</w:t>
            </w:r>
          </w:p>
          <w:p w14:paraId="6DE71075">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查新中心实行先缴费再开发票，开具数电发票，发票一般在缴费后1-2个月左右开具，请您在数电发票接收邮箱中及时查收。如遇特殊情况（假期等）会延迟更长时间，还请理解。发票严格按照查新平台委托页面提交的发票信息开具，委托以后报告未完成之前均可修改发票信息，付款之后请务必将付款凭证上传至查新平台，待核实后开具发票，不上传凭证将导致发票不能正常开具或者延后。</w:t>
            </w:r>
          </w:p>
          <w:p w14:paraId="093415BC">
            <w:pPr>
              <w:spacing w:before="60" w:after="60"/>
              <w:ind w:left="418"/>
              <w:rPr>
                <w:rFonts w:hint="eastAsia"/>
                <w:color w:val="FF0000"/>
                <w:szCs w:val="21"/>
                <w:highlight w:val="yellow"/>
                <w:lang w:val="en-US" w:eastAsia="zh-CN"/>
              </w:rPr>
            </w:pPr>
            <w:r>
              <w:rPr>
                <w:rFonts w:hint="eastAsia"/>
                <w:b/>
                <w:bCs/>
                <w:color w:val="FF0000"/>
                <w:szCs w:val="21"/>
                <w:highlight w:val="yellow"/>
                <w:lang w:val="en-US" w:eastAsia="zh-CN"/>
              </w:rPr>
              <w:t xml:space="preserve">发票类型 </w:t>
            </w:r>
            <w:r>
              <w:rPr>
                <w:rFonts w:hint="eastAsia"/>
                <w:b/>
                <w:bCs/>
                <w:color w:val="FF0000"/>
                <w:szCs w:val="21"/>
                <w:highlight w:val="yellow"/>
                <w:lang w:val="en-US" w:eastAsia="zh-CN"/>
              </w:rPr>
              <w:t>：</w:t>
            </w:r>
          </w:p>
          <w:p w14:paraId="1342678E">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①电子发票(普通发票)：仅需填写名称和统一社会信用代码</w:t>
            </w:r>
          </w:p>
          <w:p w14:paraId="409187A9">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②电子发票(普通发票)：除名称和统一社会信用代码外，填写完整的地址、电话、开户行和账号</w:t>
            </w:r>
          </w:p>
          <w:p w14:paraId="1287C079">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③电子发票(增值税专用发票)：填写完整的名称、统一社会信用代码、地址、电话、开户行和账号</w:t>
            </w:r>
          </w:p>
          <w:p w14:paraId="01D4D93D">
            <w:pPr>
              <w:spacing w:before="60" w:after="60"/>
              <w:ind w:left="418"/>
              <w:rPr>
                <w:rFonts w:hint="eastAsia"/>
                <w:color w:val="FF0000"/>
                <w:szCs w:val="21"/>
                <w:highlight w:val="none"/>
                <w:lang w:val="en-US" w:eastAsia="zh-CN"/>
              </w:rPr>
            </w:pPr>
            <w:r>
              <w:rPr>
                <w:rFonts w:hint="eastAsia"/>
                <w:color w:val="FF0000"/>
                <w:szCs w:val="21"/>
                <w:highlight w:val="none"/>
                <w:lang w:val="en-US" w:eastAsia="zh-CN"/>
              </w:rPr>
              <w:t>发票备注：填写单位规定或需要的信息。</w:t>
            </w:r>
          </w:p>
          <w:p w14:paraId="502A6D8B">
            <w:pPr>
              <w:spacing w:before="60" w:after="60"/>
              <w:ind w:left="418"/>
              <w:rPr>
                <w:rFonts w:hint="eastAsia" w:eastAsia="宋体"/>
                <w:szCs w:val="21"/>
                <w:highlight w:val="none"/>
                <w:lang w:eastAsia="zh-CN"/>
              </w:rPr>
            </w:pPr>
            <w:r>
              <w:rPr>
                <w:rFonts w:hint="eastAsia"/>
                <w:color w:val="FF0000"/>
                <w:szCs w:val="21"/>
                <w:highlight w:val="none"/>
                <w:lang w:val="en-US" w:eastAsia="zh-CN"/>
              </w:rPr>
              <w:t>请您与贵单位财务部门核实、确认发票信息，信息错误导致发票无法报销等问题责任自负，开具发票后恕不再办理发票作废、重新开取等事宜。</w:t>
            </w:r>
          </w:p>
        </w:tc>
      </w:tr>
    </w:tbl>
    <w:p w14:paraId="3E9A7477">
      <w:pPr>
        <w:rPr>
          <w:highlight w:val="none"/>
        </w:rPr>
      </w:pPr>
    </w:p>
    <w:p w14:paraId="0B3680F4">
      <w:pPr>
        <w:sectPr>
          <w:pgSz w:w="11906" w:h="16838"/>
          <w:pgMar w:top="1191" w:right="1191" w:bottom="1191" w:left="1191" w:header="851" w:footer="992" w:gutter="0"/>
          <w:cols w:space="720" w:num="1"/>
          <w:docGrid w:type="lines" w:linePitch="312" w:charSpace="0"/>
        </w:sectPr>
      </w:pPr>
    </w:p>
    <w:p w14:paraId="3CD39854">
      <w:pPr>
        <w:tabs>
          <w:tab w:val="left" w:pos="6996"/>
        </w:tabs>
        <w:snapToGrid w:val="0"/>
        <w:rPr>
          <w:rFonts w:ascii="黑体" w:hAnsi="黑体" w:eastAsia="黑体"/>
          <w:b/>
          <w:sz w:val="30"/>
          <w:szCs w:val="30"/>
        </w:rPr>
      </w:pPr>
      <w:r>
        <w:rPr>
          <w:rFonts w:hint="eastAsia" w:ascii="黑体" w:hAnsi="黑体" w:eastAsia="黑体"/>
          <w:b/>
          <w:sz w:val="30"/>
          <w:szCs w:val="30"/>
        </w:rPr>
        <w:t>附件一</w:t>
      </w:r>
      <w:r>
        <w:rPr>
          <w:rFonts w:ascii="黑体" w:hAnsi="黑体" w:eastAsia="黑体"/>
          <w:b/>
          <w:sz w:val="30"/>
          <w:szCs w:val="30"/>
        </w:rPr>
        <w:t>：</w:t>
      </w:r>
    </w:p>
    <w:p w14:paraId="3961066C">
      <w:pPr>
        <w:widowControl/>
        <w:spacing w:line="400" w:lineRule="exact"/>
        <w:jc w:val="center"/>
        <w:rPr>
          <w:rFonts w:hint="eastAsia"/>
          <w:b/>
          <w:kern w:val="0"/>
          <w:sz w:val="32"/>
          <w:szCs w:val="32"/>
        </w:rPr>
      </w:pPr>
    </w:p>
    <w:p w14:paraId="5AA76E34">
      <w:pPr>
        <w:widowControl/>
        <w:spacing w:line="400" w:lineRule="exact"/>
        <w:jc w:val="center"/>
        <w:rPr>
          <w:rFonts w:hint="eastAsia"/>
          <w:b/>
          <w:kern w:val="0"/>
          <w:sz w:val="30"/>
          <w:szCs w:val="30"/>
        </w:rPr>
      </w:pPr>
      <w:r>
        <w:rPr>
          <w:b/>
          <w:kern w:val="0"/>
          <w:sz w:val="30"/>
          <w:szCs w:val="30"/>
        </w:rPr>
        <w:t>中国科学院兰州查新咨询中心科技查新收费标准</w:t>
      </w:r>
    </w:p>
    <w:p w14:paraId="7A21FDA0">
      <w:pPr>
        <w:widowControl/>
        <w:spacing w:line="400" w:lineRule="exact"/>
        <w:jc w:val="center"/>
        <w:rPr>
          <w:b/>
          <w:kern w:val="0"/>
          <w:sz w:val="32"/>
          <w:szCs w:val="32"/>
        </w:rPr>
      </w:pPr>
    </w:p>
    <w:p w14:paraId="2E5A54DA">
      <w:pPr>
        <w:spacing w:line="360" w:lineRule="auto"/>
        <w:rPr>
          <w:b/>
          <w:color w:val="000000"/>
          <w:kern w:val="0"/>
          <w:szCs w:val="21"/>
        </w:rPr>
      </w:pPr>
      <w:r>
        <w:rPr>
          <w:b/>
          <w:color w:val="000000"/>
          <w:kern w:val="0"/>
          <w:szCs w:val="21"/>
        </w:rPr>
        <w:t>1、收费标准：</w:t>
      </w:r>
    </w:p>
    <w:p w14:paraId="6F07200A">
      <w:pPr>
        <w:spacing w:line="360" w:lineRule="auto"/>
        <w:rPr>
          <w:rFonts w:hint="eastAsia"/>
          <w:b/>
          <w:color w:val="000000"/>
          <w:kern w:val="0"/>
          <w:szCs w:val="21"/>
        </w:rPr>
      </w:pP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1304"/>
        <w:gridCol w:w="7776"/>
      </w:tblGrid>
      <w:tr w14:paraId="38469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jc w:val="center"/>
        </w:trPr>
        <w:tc>
          <w:tcPr>
            <w:tcW w:w="718" w:type="pct"/>
            <w:shd w:val="clear" w:color="auto" w:fill="FFFFFF"/>
            <w:noWrap w:val="0"/>
            <w:vAlign w:val="center"/>
          </w:tcPr>
          <w:p w14:paraId="108ADD26">
            <w:pPr>
              <w:widowControl/>
              <w:spacing w:line="360" w:lineRule="auto"/>
              <w:jc w:val="center"/>
              <w:rPr>
                <w:b/>
                <w:color w:val="000000"/>
                <w:kern w:val="0"/>
                <w:szCs w:val="21"/>
              </w:rPr>
            </w:pPr>
            <w:r>
              <w:rPr>
                <w:b/>
                <w:color w:val="000000"/>
                <w:kern w:val="0"/>
                <w:szCs w:val="21"/>
              </w:rPr>
              <w:t>查新类别</w:t>
            </w:r>
          </w:p>
        </w:tc>
        <w:tc>
          <w:tcPr>
            <w:tcW w:w="4282" w:type="pct"/>
            <w:shd w:val="clear" w:color="auto" w:fill="FFFFFF"/>
            <w:noWrap w:val="0"/>
            <w:vAlign w:val="center"/>
          </w:tcPr>
          <w:p w14:paraId="3DF829E5">
            <w:pPr>
              <w:widowControl/>
              <w:spacing w:line="360" w:lineRule="auto"/>
              <w:jc w:val="center"/>
              <w:rPr>
                <w:b/>
                <w:color w:val="000000"/>
                <w:kern w:val="0"/>
                <w:szCs w:val="21"/>
              </w:rPr>
            </w:pPr>
            <w:r>
              <w:rPr>
                <w:b/>
                <w:color w:val="000000"/>
                <w:kern w:val="0"/>
                <w:szCs w:val="21"/>
              </w:rPr>
              <w:t>收费标准、时间要求</w:t>
            </w:r>
          </w:p>
        </w:tc>
      </w:tr>
      <w:tr w14:paraId="09EDF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jc w:val="center"/>
        </w:trPr>
        <w:tc>
          <w:tcPr>
            <w:tcW w:w="718" w:type="pct"/>
            <w:shd w:val="clear" w:color="auto" w:fill="FFFFFF"/>
            <w:noWrap w:val="0"/>
            <w:vAlign w:val="center"/>
          </w:tcPr>
          <w:p w14:paraId="0CCC55A9">
            <w:pPr>
              <w:widowControl/>
              <w:spacing w:line="360" w:lineRule="auto"/>
              <w:jc w:val="center"/>
              <w:rPr>
                <w:b/>
                <w:color w:val="000000"/>
                <w:kern w:val="0"/>
                <w:szCs w:val="21"/>
              </w:rPr>
            </w:pPr>
            <w:r>
              <w:rPr>
                <w:b/>
                <w:color w:val="000000"/>
                <w:kern w:val="0"/>
                <w:szCs w:val="21"/>
              </w:rPr>
              <w:t>国内查新</w:t>
            </w:r>
          </w:p>
        </w:tc>
        <w:tc>
          <w:tcPr>
            <w:tcW w:w="4282" w:type="pct"/>
            <w:shd w:val="clear" w:color="auto" w:fill="FFFFFF"/>
            <w:noWrap w:val="0"/>
            <w:vAlign w:val="center"/>
          </w:tcPr>
          <w:p w14:paraId="58BD77B6">
            <w:pPr>
              <w:widowControl/>
              <w:spacing w:before="156" w:beforeLines="50" w:after="156" w:afterLines="50" w:line="360" w:lineRule="auto"/>
              <w:jc w:val="left"/>
              <w:rPr>
                <w:color w:val="000000"/>
                <w:kern w:val="0"/>
                <w:szCs w:val="21"/>
              </w:rPr>
            </w:pPr>
            <w:r>
              <w:rPr>
                <w:color w:val="000000"/>
                <w:kern w:val="0"/>
                <w:szCs w:val="21"/>
              </w:rPr>
              <w:t>3个查新点（含）以内：801元，正常6个工作日（含）以上，</w:t>
            </w:r>
            <w:r>
              <w:rPr>
                <w:rFonts w:hint="eastAsia"/>
                <w:color w:val="000000"/>
                <w:kern w:val="0"/>
                <w:szCs w:val="21"/>
              </w:rPr>
              <w:t>加急另行协商，3个查新点以上及其他说明见收费标准备注</w:t>
            </w:r>
          </w:p>
        </w:tc>
      </w:tr>
      <w:tr w14:paraId="7778A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jc w:val="center"/>
        </w:trPr>
        <w:tc>
          <w:tcPr>
            <w:tcW w:w="718" w:type="pct"/>
            <w:shd w:val="clear" w:color="auto" w:fill="FFFFFF"/>
            <w:noWrap w:val="0"/>
            <w:vAlign w:val="center"/>
          </w:tcPr>
          <w:p w14:paraId="6708DFE4">
            <w:pPr>
              <w:widowControl/>
              <w:spacing w:line="360" w:lineRule="auto"/>
              <w:jc w:val="center"/>
              <w:rPr>
                <w:b/>
                <w:color w:val="000000"/>
                <w:kern w:val="0"/>
                <w:szCs w:val="21"/>
              </w:rPr>
            </w:pPr>
            <w:r>
              <w:rPr>
                <w:b/>
                <w:color w:val="000000"/>
                <w:kern w:val="0"/>
                <w:szCs w:val="21"/>
              </w:rPr>
              <w:t>国内外查新</w:t>
            </w:r>
          </w:p>
        </w:tc>
        <w:tc>
          <w:tcPr>
            <w:tcW w:w="4282" w:type="pct"/>
            <w:shd w:val="clear" w:color="auto" w:fill="FFFFFF"/>
            <w:noWrap w:val="0"/>
            <w:vAlign w:val="center"/>
          </w:tcPr>
          <w:p w14:paraId="0E36E562">
            <w:pPr>
              <w:widowControl/>
              <w:spacing w:before="156" w:beforeLines="50" w:after="156" w:afterLines="50" w:line="360" w:lineRule="auto"/>
              <w:jc w:val="left"/>
              <w:rPr>
                <w:color w:val="000000"/>
                <w:kern w:val="0"/>
                <w:szCs w:val="21"/>
              </w:rPr>
            </w:pPr>
            <w:r>
              <w:rPr>
                <w:color w:val="000000"/>
                <w:kern w:val="0"/>
                <w:szCs w:val="21"/>
              </w:rPr>
              <w:t>3个查新点（含）以内：1401元，正常7个工作日（含）以上，</w:t>
            </w:r>
            <w:r>
              <w:rPr>
                <w:rFonts w:hint="eastAsia"/>
                <w:color w:val="000000"/>
                <w:kern w:val="0"/>
                <w:szCs w:val="21"/>
              </w:rPr>
              <w:t>加急另行协商；3个查新点以上及其他说明见收费标准备注</w:t>
            </w:r>
          </w:p>
        </w:tc>
      </w:tr>
    </w:tbl>
    <w:p w14:paraId="36BBFD4C">
      <w:pPr>
        <w:spacing w:line="360" w:lineRule="auto"/>
        <w:rPr>
          <w:b/>
          <w:color w:val="000000"/>
          <w:kern w:val="0"/>
          <w:szCs w:val="21"/>
        </w:rPr>
      </w:pPr>
    </w:p>
    <w:p w14:paraId="286AA787">
      <w:pPr>
        <w:spacing w:line="360" w:lineRule="auto"/>
        <w:rPr>
          <w:b/>
          <w:color w:val="000000"/>
          <w:kern w:val="0"/>
          <w:szCs w:val="21"/>
        </w:rPr>
      </w:pPr>
      <w:r>
        <w:rPr>
          <w:b/>
          <w:color w:val="000000"/>
          <w:kern w:val="0"/>
          <w:szCs w:val="21"/>
        </w:rPr>
        <w:t>2、收费标准备注</w:t>
      </w:r>
    </w:p>
    <w:p w14:paraId="31D57545">
      <w:pPr>
        <w:spacing w:line="276" w:lineRule="auto"/>
        <w:rPr>
          <w:rFonts w:hint="eastAsia"/>
          <w:color w:val="000000"/>
          <w:kern w:val="0"/>
          <w:szCs w:val="21"/>
        </w:rPr>
      </w:pPr>
      <w:r>
        <w:rPr>
          <w:rFonts w:hint="eastAsia"/>
          <w:color w:val="000000"/>
          <w:kern w:val="0"/>
          <w:szCs w:val="21"/>
        </w:rPr>
        <w:t>（1）每项查新报告超过3个查新点的时间和费用需要延长和增加：国内查新每增加1~2个查新点增加1个工作日，国内外查新每增加1个查新点增加1个工作日；国内查新每增加1个查新点加收100元，国内外查新每增加1个查新点加收200元。</w:t>
      </w:r>
    </w:p>
    <w:p w14:paraId="31FF17EC">
      <w:pPr>
        <w:spacing w:line="276" w:lineRule="auto"/>
        <w:rPr>
          <w:rFonts w:hint="eastAsia"/>
          <w:color w:val="000000"/>
          <w:kern w:val="0"/>
          <w:szCs w:val="21"/>
        </w:rPr>
      </w:pPr>
      <w:r>
        <w:rPr>
          <w:rFonts w:hint="eastAsia"/>
          <w:color w:val="000000"/>
          <w:kern w:val="0"/>
          <w:szCs w:val="21"/>
        </w:rPr>
        <w:t>（2）查新委托当天不计入工作时间（以查新平台提交时间为准），经查新员与用户沟通确认查新点之日起计算工作时间，国内查新加急费每提前1工作日加收100元，国内外查新加急费每提前1</w:t>
      </w:r>
      <w:r>
        <w:rPr>
          <w:rFonts w:hint="eastAsia"/>
          <w:color w:val="000000"/>
          <w:kern w:val="0"/>
          <w:szCs w:val="21"/>
          <w:lang w:val="en-US" w:eastAsia="zh-CN"/>
        </w:rPr>
        <w:t>个</w:t>
      </w:r>
      <w:r>
        <w:rPr>
          <w:rFonts w:hint="eastAsia"/>
          <w:color w:val="000000"/>
          <w:kern w:val="0"/>
          <w:szCs w:val="21"/>
        </w:rPr>
        <w:t>工作日加收200元。</w:t>
      </w:r>
    </w:p>
    <w:p w14:paraId="4C8F42F0">
      <w:pPr>
        <w:spacing w:line="276" w:lineRule="auto"/>
        <w:rPr>
          <w:rFonts w:hint="eastAsia"/>
          <w:color w:val="000000"/>
          <w:kern w:val="0"/>
          <w:szCs w:val="21"/>
        </w:rPr>
      </w:pPr>
      <w:r>
        <w:rPr>
          <w:rFonts w:hint="eastAsia"/>
          <w:color w:val="000000"/>
          <w:kern w:val="0"/>
          <w:szCs w:val="21"/>
        </w:rPr>
        <w:t>（3）查新过程中，经查新员与用户沟通确认查新点后，不得随意调整，否则按新增查新点收费并延长工作时间。</w:t>
      </w:r>
    </w:p>
    <w:p w14:paraId="7F54629E">
      <w:pPr>
        <w:spacing w:line="276" w:lineRule="auto"/>
        <w:rPr>
          <w:rFonts w:hint="eastAsia"/>
          <w:color w:val="000000"/>
          <w:kern w:val="0"/>
          <w:szCs w:val="21"/>
        </w:rPr>
      </w:pPr>
      <w:r>
        <w:rPr>
          <w:rFonts w:hint="eastAsia"/>
          <w:color w:val="000000"/>
          <w:kern w:val="0"/>
          <w:szCs w:val="21"/>
        </w:rPr>
        <w:t>（4）一年内针对相同查新点的查新报告进行补查，工作时间正常计算，但费用减半，且仅支持补查一次。</w:t>
      </w:r>
    </w:p>
    <w:p w14:paraId="63B9B3E2">
      <w:pPr>
        <w:spacing w:line="276" w:lineRule="auto"/>
        <w:rPr>
          <w:rFonts w:hint="eastAsia"/>
          <w:color w:val="000000"/>
          <w:kern w:val="0"/>
          <w:szCs w:val="21"/>
        </w:rPr>
      </w:pPr>
      <w:r>
        <w:rPr>
          <w:rFonts w:hint="eastAsia"/>
          <w:color w:val="000000"/>
          <w:kern w:val="0"/>
          <w:szCs w:val="21"/>
        </w:rPr>
        <w:t>（5）查新报告一般交付时间为约定最后一个工作日的16:00~18：00，具体时间可与查新负责老师协商，每项查新为用户提</w:t>
      </w:r>
      <w:r>
        <w:rPr>
          <w:rFonts w:hint="eastAsia"/>
          <w:color w:val="000000"/>
          <w:kern w:val="0"/>
          <w:szCs w:val="21"/>
          <w:lang w:val="en-US" w:eastAsia="zh-CN"/>
        </w:rPr>
        <w:t>供</w:t>
      </w:r>
      <w:r>
        <w:rPr>
          <w:rFonts w:hint="eastAsia"/>
          <w:color w:val="000000"/>
          <w:kern w:val="0"/>
          <w:szCs w:val="21"/>
        </w:rPr>
        <w:t>一式2份查新报告原件，每增加1份查新报告原件收取30元。</w:t>
      </w:r>
    </w:p>
    <w:p w14:paraId="7A3ECB4A">
      <w:pPr>
        <w:spacing w:line="276" w:lineRule="auto"/>
        <w:rPr>
          <w:rFonts w:hint="eastAsia"/>
          <w:color w:val="000000"/>
          <w:kern w:val="0"/>
          <w:szCs w:val="21"/>
        </w:rPr>
      </w:pPr>
      <w:r>
        <w:rPr>
          <w:rFonts w:hint="eastAsia"/>
          <w:color w:val="000000"/>
          <w:kern w:val="0"/>
          <w:szCs w:val="21"/>
        </w:rPr>
        <w:t>（6）查新费用已包含快递费、扫描费和原文传递费用，将统一为用户扫描纸质报告，采用顺丰快递邮寄报告和发票。</w:t>
      </w:r>
    </w:p>
    <w:p w14:paraId="522340D1">
      <w:pPr>
        <w:spacing w:line="276" w:lineRule="auto"/>
        <w:rPr>
          <w:sz w:val="24"/>
        </w:rPr>
        <w:sectPr>
          <w:pgSz w:w="11906" w:h="16838"/>
          <w:pgMar w:top="1588" w:right="1418" w:bottom="1588" w:left="1418" w:header="851" w:footer="992" w:gutter="0"/>
          <w:cols w:space="720" w:num="1"/>
          <w:docGrid w:type="lines" w:linePitch="312" w:charSpace="0"/>
        </w:sectPr>
      </w:pPr>
      <w:r>
        <w:rPr>
          <w:rFonts w:hint="eastAsia"/>
          <w:color w:val="000000"/>
          <w:kern w:val="0"/>
          <w:szCs w:val="21"/>
        </w:rPr>
        <w:t>（7）针对已完成的查新报告(盖章扫描后)，如需进行非查新点以外的内容微调，需要重新在查新平台重新提交委托，统一收取101元，提供2份查新报告原件。</w:t>
      </w:r>
    </w:p>
    <w:p w14:paraId="4BCF7384">
      <w:pPr>
        <w:tabs>
          <w:tab w:val="left" w:pos="6996"/>
        </w:tabs>
        <w:snapToGrid w:val="0"/>
        <w:rPr>
          <w:rFonts w:hint="eastAsia" w:ascii="黑体" w:hAnsi="黑体" w:eastAsia="黑体"/>
          <w:b/>
          <w:sz w:val="30"/>
          <w:szCs w:val="30"/>
        </w:rPr>
      </w:pPr>
    </w:p>
    <w:p w14:paraId="0555DEB3">
      <w:pPr>
        <w:tabs>
          <w:tab w:val="left" w:pos="6996"/>
        </w:tabs>
        <w:snapToGrid w:val="0"/>
        <w:rPr>
          <w:rFonts w:hint="eastAsia" w:ascii="黑体" w:hAnsi="黑体" w:eastAsia="黑体"/>
          <w:b/>
          <w:sz w:val="30"/>
          <w:szCs w:val="30"/>
        </w:rPr>
      </w:pPr>
      <w:r>
        <w:rPr>
          <w:rFonts w:hint="eastAsia" w:ascii="黑体" w:hAnsi="黑体" w:eastAsia="黑体"/>
          <w:b/>
          <w:sz w:val="30"/>
          <w:szCs w:val="30"/>
        </w:rPr>
        <w:t>附件二</w:t>
      </w:r>
      <w:r>
        <w:rPr>
          <w:rFonts w:ascii="黑体" w:hAnsi="黑体" w:eastAsia="黑体"/>
          <w:b/>
          <w:sz w:val="30"/>
          <w:szCs w:val="30"/>
        </w:rPr>
        <w:t>：</w:t>
      </w:r>
    </w:p>
    <w:p w14:paraId="1956E879">
      <w:pPr>
        <w:widowControl/>
        <w:spacing w:line="400" w:lineRule="exact"/>
        <w:jc w:val="center"/>
        <w:rPr>
          <w:b/>
          <w:kern w:val="0"/>
          <w:sz w:val="30"/>
          <w:szCs w:val="30"/>
        </w:rPr>
      </w:pPr>
    </w:p>
    <w:p w14:paraId="5960A7AE">
      <w:pPr>
        <w:widowControl/>
        <w:spacing w:line="400" w:lineRule="exact"/>
        <w:jc w:val="center"/>
        <w:rPr>
          <w:b/>
          <w:kern w:val="0"/>
          <w:sz w:val="30"/>
          <w:szCs w:val="30"/>
        </w:rPr>
      </w:pPr>
      <w:r>
        <w:rPr>
          <w:b/>
          <w:kern w:val="0"/>
          <w:sz w:val="30"/>
          <w:szCs w:val="30"/>
        </w:rPr>
        <w:t>中国科学院兰州查新咨询中心缴费和发票须知</w:t>
      </w:r>
    </w:p>
    <w:p w14:paraId="4F801A21">
      <w:pPr>
        <w:widowControl/>
        <w:spacing w:line="400" w:lineRule="exact"/>
        <w:jc w:val="center"/>
        <w:rPr>
          <w:color w:val="000000"/>
          <w:kern w:val="0"/>
          <w:szCs w:val="21"/>
        </w:rPr>
      </w:pPr>
    </w:p>
    <w:p w14:paraId="0C4E28DC">
      <w:pPr>
        <w:spacing w:line="360" w:lineRule="auto"/>
      </w:pPr>
      <w:r>
        <w:rPr>
          <w:b/>
          <w:bCs/>
        </w:rPr>
        <w:t>缴费时间：</w:t>
      </w:r>
      <w:r>
        <w:rPr>
          <w:rFonts w:hint="eastAsia"/>
        </w:rPr>
        <w:t>查新报告付款需要在报告审核前完成，具体费用请在提交委托后与查新老师联系确定。</w:t>
      </w:r>
    </w:p>
    <w:p w14:paraId="27EE4CD6">
      <w:pPr>
        <w:spacing w:line="360" w:lineRule="auto"/>
        <w:rPr>
          <w:b/>
          <w:bCs/>
        </w:rPr>
      </w:pPr>
    </w:p>
    <w:p w14:paraId="1D31D2C6">
      <w:pPr>
        <w:spacing w:line="360" w:lineRule="auto"/>
        <w:rPr>
          <w:b/>
          <w:bCs/>
        </w:rPr>
      </w:pPr>
      <w:r>
        <w:rPr>
          <w:b/>
          <w:bCs/>
        </w:rPr>
        <w:t>缴费方式：</w:t>
      </w:r>
    </w:p>
    <w:p w14:paraId="182ACC48">
      <w:pPr>
        <w:spacing w:line="360" w:lineRule="auto"/>
        <w:rPr>
          <w:rFonts w:hint="eastAsia"/>
        </w:rPr>
      </w:pPr>
      <w:bookmarkStart w:id="0" w:name="_Hlk71876400"/>
      <w:r>
        <w:rPr>
          <w:rFonts w:hint="eastAsia"/>
        </w:rPr>
        <w:t>1、单位公对公转账：请向贵单位财务借款至我单位对公账户，待我单位财务查收后，开具发票。</w:t>
      </w:r>
    </w:p>
    <w:p w14:paraId="0A4E459E">
      <w:pPr>
        <w:spacing w:line="360" w:lineRule="auto"/>
        <w:rPr>
          <w:rFonts w:hint="eastAsia"/>
        </w:rPr>
      </w:pPr>
      <w:r>
        <w:rPr>
          <w:rFonts w:hint="eastAsia"/>
        </w:rPr>
        <w:t>2、个人对公转账：个人将费用（通过各银行手机网银、银行柜台，不支持微信、支付宝）转账至我单位对公账户，待我单位财务查证后，开具发票。须事先咨询贵单位财务，开发票后能否报销费用至个人。</w:t>
      </w:r>
    </w:p>
    <w:p w14:paraId="7C34A9E9">
      <w:pPr>
        <w:spacing w:line="360" w:lineRule="auto"/>
        <w:rPr>
          <w:rFonts w:hint="eastAsia"/>
        </w:rPr>
      </w:pPr>
      <w:r>
        <w:rPr>
          <w:rFonts w:hint="eastAsia"/>
        </w:rPr>
        <w:t>3、公务卡扫码支付：向查新检索员索要付款二维码，使用微信或者支付宝绑定公务卡扫码支付（请仔细阅读二维码提示，此方式发票开具较慢，需要1-2个月</w:t>
      </w:r>
      <w:r>
        <w:rPr>
          <w:rFonts w:hint="eastAsia"/>
          <w:lang w:val="en-US" w:eastAsia="zh-CN"/>
        </w:rPr>
        <w:t>左右</w:t>
      </w:r>
      <w:r>
        <w:rPr>
          <w:rFonts w:hint="eastAsia"/>
        </w:rPr>
        <w:t>）</w:t>
      </w:r>
    </w:p>
    <w:p w14:paraId="24C1D24A">
      <w:pPr>
        <w:spacing w:line="360" w:lineRule="auto"/>
        <w:rPr>
          <w:rFonts w:hint="eastAsia"/>
        </w:rPr>
      </w:pPr>
      <w:r>
        <w:rPr>
          <w:rFonts w:hint="eastAsia"/>
        </w:rPr>
        <w:t>注：选择何种方式缴费，请提前咨询贵单位财务，开具发票后不再办理发票作废、退款等事宜。</w:t>
      </w:r>
    </w:p>
    <w:bookmarkEnd w:id="0"/>
    <w:p w14:paraId="3838A431">
      <w:pPr>
        <w:spacing w:line="360" w:lineRule="auto"/>
        <w:rPr>
          <w:b/>
          <w:bCs/>
        </w:rPr>
      </w:pPr>
    </w:p>
    <w:p w14:paraId="0F65BE93">
      <w:pPr>
        <w:spacing w:line="360" w:lineRule="auto"/>
        <w:rPr>
          <w:b/>
          <w:bCs/>
        </w:rPr>
      </w:pPr>
      <w:r>
        <w:rPr>
          <w:b/>
          <w:bCs/>
        </w:rPr>
        <w:t>发票须知：</w:t>
      </w:r>
    </w:p>
    <w:p w14:paraId="38CD3F7E">
      <w:pPr>
        <w:spacing w:line="360" w:lineRule="auto"/>
        <w:ind w:firstLine="420" w:firstLineChars="200"/>
        <w:rPr>
          <w:rFonts w:hint="eastAsia"/>
        </w:rPr>
      </w:pPr>
      <w:bookmarkStart w:id="1" w:name="_Hlk71876429"/>
      <w:r>
        <w:rPr>
          <w:rFonts w:hint="eastAsia"/>
        </w:rPr>
        <w:t>1、本查新中心实行先缴费再开发票，开具数电发票，发票一般在缴费后1-2个月</w:t>
      </w:r>
      <w:r>
        <w:rPr>
          <w:rFonts w:hint="eastAsia"/>
          <w:lang w:val="en-US" w:eastAsia="zh-CN"/>
        </w:rPr>
        <w:t>左右</w:t>
      </w:r>
      <w:r>
        <w:rPr>
          <w:rFonts w:hint="eastAsia"/>
        </w:rPr>
        <w:t>开具，请您在数电发票接收邮箱中及时查收。如遇特殊情况（假期等）会延迟更长时间，还请理解。发票严格按照查新平台委托页面提交的发票信息开具，付款之后请务必将付款凭证上传至查新平台，待核实后开具发票，不上传凭证将导致发票不能正常开具或者延后；</w:t>
      </w:r>
    </w:p>
    <w:p w14:paraId="0F58412C">
      <w:pPr>
        <w:spacing w:line="360" w:lineRule="auto"/>
        <w:ind w:firstLine="420" w:firstLineChars="200"/>
        <w:rPr>
          <w:rFonts w:hint="eastAsia"/>
        </w:rPr>
      </w:pPr>
      <w:r>
        <w:rPr>
          <w:rFonts w:hint="eastAsia"/>
        </w:rPr>
        <w:t>2、中国科学院西北生态环境资源研究院的职工和学生用户无需开票，发票类型请选择“无需发票”，报告费用走内部转账即可。</w:t>
      </w:r>
    </w:p>
    <w:p w14:paraId="41F39403">
      <w:pPr>
        <w:spacing w:line="360" w:lineRule="auto"/>
        <w:ind w:firstLine="420" w:firstLineChars="200"/>
        <w:rPr>
          <w:rFonts w:hint="eastAsia"/>
        </w:rPr>
      </w:pPr>
    </w:p>
    <w:bookmarkEnd w:id="1"/>
    <w:p w14:paraId="5821CDE2">
      <w:pPr>
        <w:spacing w:line="360" w:lineRule="auto"/>
        <w:rPr>
          <w:rFonts w:ascii="Times New Roman" w:hAnsi="Times New Roman" w:eastAsia="宋体" w:cs="Times New Roman"/>
          <w:b/>
          <w:bCs/>
        </w:rPr>
      </w:pPr>
      <w:r>
        <w:rPr>
          <w:rFonts w:ascii="Times New Roman" w:hAnsi="Times New Roman" w:eastAsia="宋体" w:cs="Times New Roman"/>
          <w:b/>
          <w:bCs/>
        </w:rPr>
        <w:t>单位账号信息：</w:t>
      </w:r>
    </w:p>
    <w:p w14:paraId="6D38D1F4">
      <w:pPr>
        <w:widowControl/>
        <w:spacing w:line="400" w:lineRule="exact"/>
        <w:ind w:left="420" w:leftChars="200"/>
        <w:jc w:val="left"/>
        <w:rPr>
          <w:rFonts w:hint="eastAsia"/>
          <w:color w:val="000000"/>
          <w:kern w:val="0"/>
          <w:szCs w:val="21"/>
        </w:rPr>
      </w:pPr>
      <w:r>
        <w:rPr>
          <w:rFonts w:hint="eastAsia"/>
          <w:color w:val="000000"/>
          <w:kern w:val="0"/>
          <w:szCs w:val="21"/>
        </w:rPr>
        <w:t xml:space="preserve">账户名称：中国科学院西北生态环境资源研究院 </w:t>
      </w:r>
    </w:p>
    <w:p w14:paraId="5005E857">
      <w:pPr>
        <w:widowControl/>
        <w:spacing w:line="400" w:lineRule="exact"/>
        <w:ind w:left="420" w:leftChars="200"/>
        <w:jc w:val="left"/>
        <w:rPr>
          <w:rFonts w:hint="eastAsia"/>
          <w:color w:val="000000"/>
          <w:kern w:val="0"/>
          <w:szCs w:val="21"/>
        </w:rPr>
      </w:pPr>
      <w:r>
        <w:rPr>
          <w:rFonts w:hint="eastAsia"/>
          <w:color w:val="000000"/>
          <w:kern w:val="0"/>
          <w:szCs w:val="21"/>
        </w:rPr>
        <w:t xml:space="preserve">账号：2703000909200066953 </w:t>
      </w:r>
    </w:p>
    <w:p w14:paraId="680C01AC">
      <w:pPr>
        <w:widowControl/>
        <w:spacing w:line="400" w:lineRule="exact"/>
        <w:ind w:left="420" w:leftChars="200"/>
        <w:jc w:val="left"/>
        <w:rPr>
          <w:rFonts w:hint="eastAsia"/>
          <w:color w:val="000000"/>
          <w:kern w:val="0"/>
          <w:szCs w:val="21"/>
        </w:rPr>
      </w:pPr>
      <w:r>
        <w:rPr>
          <w:rFonts w:hint="eastAsia"/>
          <w:color w:val="000000"/>
          <w:kern w:val="0"/>
          <w:szCs w:val="21"/>
        </w:rPr>
        <w:t xml:space="preserve">开户银行名称：中国工商银行股份有限公司兰州开发区支行 </w:t>
      </w:r>
    </w:p>
    <w:p w14:paraId="5E8BAFE5">
      <w:pPr>
        <w:widowControl/>
        <w:spacing w:line="400" w:lineRule="exact"/>
        <w:ind w:left="420" w:leftChars="200"/>
        <w:jc w:val="left"/>
        <w:rPr>
          <w:rFonts w:hint="eastAsia"/>
          <w:color w:val="000000"/>
          <w:kern w:val="0"/>
          <w:szCs w:val="21"/>
        </w:rPr>
      </w:pPr>
      <w:r>
        <w:rPr>
          <w:rFonts w:hint="eastAsia"/>
          <w:color w:val="000000"/>
          <w:kern w:val="0"/>
          <w:szCs w:val="21"/>
        </w:rPr>
        <w:t>开户银行代码：102821000097</w:t>
      </w:r>
    </w:p>
    <w:sectPr>
      <w:pgSz w:w="11906" w:h="16838"/>
      <w:pgMar w:top="1191" w:right="1191" w:bottom="1191" w:left="119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0C0E9C"/>
    <w:multiLevelType w:val="multilevel"/>
    <w:tmpl w:val="0B0C0E9C"/>
    <w:lvl w:ilvl="0" w:tentative="0">
      <w:start w:val="1"/>
      <w:numFmt w:val="decimal"/>
      <w:lvlText w:val="%1、"/>
      <w:lvlJc w:val="left"/>
      <w:pPr>
        <w:ind w:left="778" w:hanging="360"/>
      </w:pPr>
      <w:rPr>
        <w:rFonts w:hint="default"/>
      </w:rPr>
    </w:lvl>
    <w:lvl w:ilvl="1" w:tentative="0">
      <w:start w:val="1"/>
      <w:numFmt w:val="lowerLetter"/>
      <w:lvlText w:val="%2)"/>
      <w:lvlJc w:val="left"/>
      <w:pPr>
        <w:ind w:left="1258" w:hanging="420"/>
      </w:pPr>
    </w:lvl>
    <w:lvl w:ilvl="2" w:tentative="0">
      <w:start w:val="1"/>
      <w:numFmt w:val="lowerRoman"/>
      <w:lvlText w:val="%3."/>
      <w:lvlJc w:val="right"/>
      <w:pPr>
        <w:ind w:left="1678" w:hanging="420"/>
      </w:pPr>
    </w:lvl>
    <w:lvl w:ilvl="3" w:tentative="0">
      <w:start w:val="1"/>
      <w:numFmt w:val="decimal"/>
      <w:lvlText w:val="%4."/>
      <w:lvlJc w:val="left"/>
      <w:pPr>
        <w:ind w:left="2098" w:hanging="420"/>
      </w:pPr>
    </w:lvl>
    <w:lvl w:ilvl="4" w:tentative="0">
      <w:start w:val="1"/>
      <w:numFmt w:val="lowerLetter"/>
      <w:lvlText w:val="%5)"/>
      <w:lvlJc w:val="left"/>
      <w:pPr>
        <w:ind w:left="2518" w:hanging="420"/>
      </w:pPr>
    </w:lvl>
    <w:lvl w:ilvl="5" w:tentative="0">
      <w:start w:val="1"/>
      <w:numFmt w:val="lowerRoman"/>
      <w:lvlText w:val="%6."/>
      <w:lvlJc w:val="right"/>
      <w:pPr>
        <w:ind w:left="2938" w:hanging="420"/>
      </w:pPr>
    </w:lvl>
    <w:lvl w:ilvl="6" w:tentative="0">
      <w:start w:val="1"/>
      <w:numFmt w:val="decimal"/>
      <w:lvlText w:val="%7."/>
      <w:lvlJc w:val="left"/>
      <w:pPr>
        <w:ind w:left="3358" w:hanging="420"/>
      </w:pPr>
    </w:lvl>
    <w:lvl w:ilvl="7" w:tentative="0">
      <w:start w:val="1"/>
      <w:numFmt w:val="lowerLetter"/>
      <w:lvlText w:val="%8)"/>
      <w:lvlJc w:val="left"/>
      <w:pPr>
        <w:ind w:left="3778" w:hanging="420"/>
      </w:pPr>
    </w:lvl>
    <w:lvl w:ilvl="8" w:tentative="0">
      <w:start w:val="1"/>
      <w:numFmt w:val="lowerRoman"/>
      <w:lvlText w:val="%9."/>
      <w:lvlJc w:val="right"/>
      <w:pPr>
        <w:ind w:left="419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4NDk5Nzk3MmNlYzJlODg0YjMwYzFiNDg2NGI1YTMifQ=="/>
  </w:docVars>
  <w:rsids>
    <w:rsidRoot w:val="007E5FC4"/>
    <w:rsid w:val="0003707E"/>
    <w:rsid w:val="00052357"/>
    <w:rsid w:val="000757EA"/>
    <w:rsid w:val="000879AC"/>
    <w:rsid w:val="00093656"/>
    <w:rsid w:val="000A52FD"/>
    <w:rsid w:val="00134FC9"/>
    <w:rsid w:val="001477AB"/>
    <w:rsid w:val="001B6386"/>
    <w:rsid w:val="001E6AC5"/>
    <w:rsid w:val="001F0B6C"/>
    <w:rsid w:val="0020703A"/>
    <w:rsid w:val="00211CBA"/>
    <w:rsid w:val="00262A5F"/>
    <w:rsid w:val="00273943"/>
    <w:rsid w:val="00285F82"/>
    <w:rsid w:val="002B54B7"/>
    <w:rsid w:val="002B7654"/>
    <w:rsid w:val="002C5315"/>
    <w:rsid w:val="002D6667"/>
    <w:rsid w:val="002F610E"/>
    <w:rsid w:val="003005B0"/>
    <w:rsid w:val="003359E5"/>
    <w:rsid w:val="003566F3"/>
    <w:rsid w:val="00360C82"/>
    <w:rsid w:val="00385C02"/>
    <w:rsid w:val="003F305A"/>
    <w:rsid w:val="004040B1"/>
    <w:rsid w:val="004146DA"/>
    <w:rsid w:val="004224EA"/>
    <w:rsid w:val="00445335"/>
    <w:rsid w:val="0046474D"/>
    <w:rsid w:val="004C5E05"/>
    <w:rsid w:val="004D4805"/>
    <w:rsid w:val="004E23C7"/>
    <w:rsid w:val="004E405F"/>
    <w:rsid w:val="004F59D6"/>
    <w:rsid w:val="004F5FDB"/>
    <w:rsid w:val="00503313"/>
    <w:rsid w:val="00504B17"/>
    <w:rsid w:val="005201D2"/>
    <w:rsid w:val="00527FEC"/>
    <w:rsid w:val="005411D5"/>
    <w:rsid w:val="00551EBE"/>
    <w:rsid w:val="0056608F"/>
    <w:rsid w:val="0058032B"/>
    <w:rsid w:val="005C3938"/>
    <w:rsid w:val="005C5C5E"/>
    <w:rsid w:val="005F47BA"/>
    <w:rsid w:val="005F48CB"/>
    <w:rsid w:val="006258EE"/>
    <w:rsid w:val="00655A80"/>
    <w:rsid w:val="0067664D"/>
    <w:rsid w:val="006821C8"/>
    <w:rsid w:val="006B4C1B"/>
    <w:rsid w:val="006B695B"/>
    <w:rsid w:val="006C3B77"/>
    <w:rsid w:val="006D5BAC"/>
    <w:rsid w:val="00707FCD"/>
    <w:rsid w:val="007118DB"/>
    <w:rsid w:val="00722AF4"/>
    <w:rsid w:val="00767B6E"/>
    <w:rsid w:val="00783DDD"/>
    <w:rsid w:val="00786D07"/>
    <w:rsid w:val="007C3A45"/>
    <w:rsid w:val="007C48DE"/>
    <w:rsid w:val="007E45AA"/>
    <w:rsid w:val="007E5FC4"/>
    <w:rsid w:val="00850D3F"/>
    <w:rsid w:val="00851EAA"/>
    <w:rsid w:val="00873FBE"/>
    <w:rsid w:val="00897A5C"/>
    <w:rsid w:val="008B1445"/>
    <w:rsid w:val="008B3B05"/>
    <w:rsid w:val="008F6723"/>
    <w:rsid w:val="009131F2"/>
    <w:rsid w:val="00926136"/>
    <w:rsid w:val="00930A9E"/>
    <w:rsid w:val="009429EF"/>
    <w:rsid w:val="00960694"/>
    <w:rsid w:val="00964B9B"/>
    <w:rsid w:val="00973E59"/>
    <w:rsid w:val="009835FD"/>
    <w:rsid w:val="00992B39"/>
    <w:rsid w:val="0099442E"/>
    <w:rsid w:val="009F2FAF"/>
    <w:rsid w:val="009F3B68"/>
    <w:rsid w:val="00A04F06"/>
    <w:rsid w:val="00A4371E"/>
    <w:rsid w:val="00A75994"/>
    <w:rsid w:val="00A90949"/>
    <w:rsid w:val="00AC5F64"/>
    <w:rsid w:val="00B5510D"/>
    <w:rsid w:val="00B61EB9"/>
    <w:rsid w:val="00B9574C"/>
    <w:rsid w:val="00BA3FD0"/>
    <w:rsid w:val="00BA79F4"/>
    <w:rsid w:val="00BC669B"/>
    <w:rsid w:val="00BF206D"/>
    <w:rsid w:val="00C167B4"/>
    <w:rsid w:val="00C2559B"/>
    <w:rsid w:val="00C44D6D"/>
    <w:rsid w:val="00C6045E"/>
    <w:rsid w:val="00C604D0"/>
    <w:rsid w:val="00CF2D67"/>
    <w:rsid w:val="00D10E26"/>
    <w:rsid w:val="00D143D6"/>
    <w:rsid w:val="00D559D9"/>
    <w:rsid w:val="00D5685F"/>
    <w:rsid w:val="00D605D8"/>
    <w:rsid w:val="00D91EFF"/>
    <w:rsid w:val="00DB0F75"/>
    <w:rsid w:val="00DD358C"/>
    <w:rsid w:val="00E238F6"/>
    <w:rsid w:val="00E86842"/>
    <w:rsid w:val="00E94F30"/>
    <w:rsid w:val="00EB6C9C"/>
    <w:rsid w:val="00ED3759"/>
    <w:rsid w:val="00EF1C81"/>
    <w:rsid w:val="00F344A3"/>
    <w:rsid w:val="00F55E55"/>
    <w:rsid w:val="00F64882"/>
    <w:rsid w:val="00F908BB"/>
    <w:rsid w:val="00FA1421"/>
    <w:rsid w:val="00FB39FF"/>
    <w:rsid w:val="00FC2A77"/>
    <w:rsid w:val="00FC50E9"/>
    <w:rsid w:val="00FC68F1"/>
    <w:rsid w:val="00FE050A"/>
    <w:rsid w:val="00FE083E"/>
    <w:rsid w:val="00FE2407"/>
    <w:rsid w:val="00FE3501"/>
    <w:rsid w:val="00FE4B90"/>
    <w:rsid w:val="01A13013"/>
    <w:rsid w:val="08E14245"/>
    <w:rsid w:val="0A7A46D4"/>
    <w:rsid w:val="0BB42456"/>
    <w:rsid w:val="0E59112A"/>
    <w:rsid w:val="21343E6A"/>
    <w:rsid w:val="21DF78B2"/>
    <w:rsid w:val="22224CF0"/>
    <w:rsid w:val="249475DE"/>
    <w:rsid w:val="2B8969FC"/>
    <w:rsid w:val="37F62EDD"/>
    <w:rsid w:val="3D980641"/>
    <w:rsid w:val="4895261F"/>
    <w:rsid w:val="4A580BB0"/>
    <w:rsid w:val="4DE53C11"/>
    <w:rsid w:val="5E4D621B"/>
    <w:rsid w:val="65A10229"/>
    <w:rsid w:val="6B2A3D01"/>
    <w:rsid w:val="6CC12C6C"/>
    <w:rsid w:val="6D321AA3"/>
    <w:rsid w:val="6E782D30"/>
    <w:rsid w:val="6F3C482C"/>
    <w:rsid w:val="78DD2BDC"/>
    <w:rsid w:val="7B8C3284"/>
    <w:rsid w:val="7C35705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semiHidden/>
    <w:qFormat/>
    <w:uiPriority w:val="0"/>
    <w:rPr>
      <w:color w:val="0000FF"/>
      <w:u w:val="single"/>
    </w:rPr>
  </w:style>
  <w:style w:type="character" w:customStyle="1" w:styleId="7">
    <w:name w:val="页脚 字符"/>
    <w:link w:val="2"/>
    <w:uiPriority w:val="99"/>
    <w:rPr>
      <w:kern w:val="2"/>
      <w:sz w:val="18"/>
      <w:szCs w:val="18"/>
    </w:rPr>
  </w:style>
  <w:style w:type="character" w:customStyle="1" w:styleId="8">
    <w:name w:val="页眉 字符"/>
    <w:link w:val="3"/>
    <w:uiPriority w:val="99"/>
    <w:rPr>
      <w:kern w:val="2"/>
      <w:sz w:val="18"/>
      <w:szCs w:val="18"/>
    </w:rPr>
  </w:style>
  <w:style w:type="character" w:customStyle="1" w:styleId="9">
    <w:name w:val="_Style 8"/>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IT</Company>
  <Pages>6</Pages>
  <Words>4232</Words>
  <Characters>4521</Characters>
  <Lines>27</Lines>
  <Paragraphs>7</Paragraphs>
  <TotalTime>133</TotalTime>
  <ScaleCrop>false</ScaleCrop>
  <LinksUpToDate>false</LinksUpToDate>
  <CharactersWithSpaces>4735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2006-07-25T07:45:00Z</dcterms:created>
  <dc:creator>Wuzx</dc:creator>
  <cp:lastModifiedBy>lujl</cp:lastModifiedBy>
  <cp:lastPrinted>2005-09-07T02:11:00Z</cp:lastPrinted>
  <dcterms:modified xsi:type="dcterms:W3CDTF">2026-01-06T07:07:12Z</dcterms:modified>
  <dc:title>    科 技 查 新 委 托 单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C584867B9A9C440AAB9A31D11BAA84CA_13</vt:lpwstr>
  </property>
  <property fmtid="{D5CDD505-2E9C-101B-9397-08002B2CF9AE}" pid="4" name="commondata">
    <vt:lpwstr>eyJoZGlkIjoiZWM4NDk5Nzk3MmNlYzJlODg0YjMwYzFiNDg2NGI1YTMifQ==</vt:lpwstr>
  </property>
  <property fmtid="{D5CDD505-2E9C-101B-9397-08002B2CF9AE}" pid="5" name="KSOTemplateDocerSaveRecord">
    <vt:lpwstr>eyJoZGlkIjoiYjBmNzY4YTliOWVhNjcyMDY4OGFkOTM1NDNkM2FkYTAiLCJ1c2VySWQiOiI3MDYzMjE0MDkifQ==</vt:lpwstr>
  </property>
</Properties>
</file>