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8A779D">
      <w:pPr>
        <w:tabs>
          <w:tab w:val="left" w:pos="6996"/>
        </w:tabs>
        <w:snapToGrid w:val="0"/>
        <w:spacing w:before="312" w:beforeLines="100" w:after="312" w:afterLines="100"/>
        <w:jc w:val="center"/>
        <w:rPr>
          <w:rFonts w:hint="eastAsia" w:ascii="黑体" w:hAnsi="黑体" w:eastAsia="黑体"/>
          <w:b/>
          <w:sz w:val="36"/>
          <w:szCs w:val="36"/>
        </w:rPr>
      </w:pPr>
      <w:r>
        <w:rPr>
          <w:rFonts w:hint="eastAsia" w:ascii="黑体" w:hAnsi="黑体" w:eastAsia="黑体"/>
          <w:b/>
          <w:sz w:val="36"/>
          <w:szCs w:val="36"/>
        </w:rPr>
        <w:t>中国科学院兰州查新咨询中心</w:t>
      </w:r>
      <w:r>
        <w:rPr>
          <w:rFonts w:hint="eastAsia" w:ascii="黑体" w:hAnsi="黑体" w:eastAsia="黑体"/>
          <w:b/>
          <w:sz w:val="36"/>
          <w:szCs w:val="36"/>
          <w:highlight w:val="none"/>
        </w:rPr>
        <w:t>收引检索论文目录</w:t>
      </w:r>
    </w:p>
    <w:p w14:paraId="169C6104">
      <w:pPr>
        <w:tabs>
          <w:tab w:val="left" w:pos="6996"/>
        </w:tabs>
        <w:snapToGrid w:val="0"/>
        <w:spacing w:line="360" w:lineRule="auto"/>
        <w:jc w:val="left"/>
        <w:rPr>
          <w:rFonts w:hint="eastAsia" w:ascii="宋体" w:hAnsi="宋体"/>
          <w:bCs/>
          <w:color w:val="FF0000"/>
          <w:sz w:val="24"/>
        </w:rPr>
      </w:pPr>
      <w:r>
        <w:rPr>
          <w:rFonts w:hint="eastAsia" w:ascii="宋体" w:hAnsi="宋体"/>
          <w:bCs/>
          <w:color w:val="FF0000"/>
          <w:sz w:val="24"/>
        </w:rPr>
        <w:t>论文收引检索须知：</w:t>
      </w:r>
    </w:p>
    <w:p w14:paraId="03447A53">
      <w:pPr>
        <w:tabs>
          <w:tab w:val="left" w:pos="6996"/>
        </w:tabs>
        <w:snapToGrid w:val="0"/>
        <w:spacing w:line="360" w:lineRule="auto"/>
        <w:ind w:firstLine="480" w:firstLineChars="200"/>
        <w:jc w:val="left"/>
        <w:rPr>
          <w:rFonts w:ascii="宋体" w:hAnsi="宋体"/>
          <w:bCs/>
          <w:color w:val="FF0000"/>
          <w:sz w:val="24"/>
        </w:rPr>
      </w:pPr>
      <w:r>
        <w:rPr>
          <w:rFonts w:hint="eastAsia" w:ascii="宋体" w:hAnsi="宋体"/>
          <w:bCs/>
          <w:color w:val="FF0000"/>
          <w:sz w:val="24"/>
        </w:rPr>
        <w:t>论文收引检索委托流程：</w:t>
      </w:r>
    </w:p>
    <w:p w14:paraId="6E17C653">
      <w:pPr>
        <w:tabs>
          <w:tab w:val="left" w:pos="6996"/>
        </w:tabs>
        <w:snapToGrid w:val="0"/>
        <w:spacing w:line="360" w:lineRule="auto"/>
        <w:ind w:firstLine="480" w:firstLineChars="200"/>
        <w:jc w:val="left"/>
        <w:rPr>
          <w:rFonts w:ascii="宋体" w:hAnsi="宋体"/>
          <w:bCs/>
          <w:color w:val="FF0000"/>
          <w:sz w:val="24"/>
        </w:rPr>
      </w:pPr>
      <w:r>
        <w:rPr>
          <w:rFonts w:ascii="宋体" w:hAnsi="宋体"/>
          <w:bCs/>
          <w:color w:val="FF0000"/>
          <w:sz w:val="24"/>
        </w:rPr>
        <w:t>1</w:t>
      </w:r>
      <w:r>
        <w:rPr>
          <w:rFonts w:hint="eastAsia" w:ascii="宋体" w:hAnsi="宋体"/>
          <w:bCs/>
          <w:color w:val="FF0000"/>
          <w:sz w:val="24"/>
        </w:rPr>
        <w:t>、</w:t>
      </w:r>
      <w:r>
        <w:rPr>
          <w:rFonts w:hint="eastAsia" w:ascii="宋体" w:hAnsi="宋体"/>
          <w:bCs/>
          <w:color w:val="FF0000"/>
          <w:sz w:val="24"/>
          <w:lang w:val="en-US" w:eastAsia="zh-CN"/>
        </w:rPr>
        <w:t>注册</w:t>
      </w:r>
      <w:r>
        <w:rPr>
          <w:rFonts w:hint="eastAsia" w:ascii="宋体" w:hAnsi="宋体"/>
          <w:bCs/>
          <w:color w:val="FF0000"/>
          <w:sz w:val="24"/>
        </w:rPr>
        <w:t>“中国科学院兰州查新咨询中心管理平台”（http://chaxin.llas.ac.cn），</w:t>
      </w:r>
      <w:r>
        <w:rPr>
          <w:rFonts w:hint="eastAsia" w:ascii="宋体" w:hAnsi="宋体"/>
          <w:bCs/>
          <w:color w:val="FF0000"/>
          <w:sz w:val="24"/>
          <w:lang w:val="en-US" w:eastAsia="zh-CN"/>
        </w:rPr>
        <w:t>登录</w:t>
      </w:r>
      <w:r>
        <w:rPr>
          <w:rFonts w:hint="eastAsia" w:ascii="宋体" w:hAnsi="宋体"/>
          <w:bCs/>
          <w:color w:val="FF0000"/>
          <w:sz w:val="24"/>
        </w:rPr>
        <w:t>平台账号，选择委托业务-论文收引检索进行委</w:t>
      </w:r>
      <w:bookmarkStart w:id="1" w:name="_GoBack"/>
      <w:bookmarkEnd w:id="1"/>
      <w:r>
        <w:rPr>
          <w:rFonts w:hint="eastAsia" w:ascii="宋体" w:hAnsi="宋体"/>
          <w:bCs/>
          <w:color w:val="FF0000"/>
          <w:sz w:val="24"/>
        </w:rPr>
        <w:t>托，了解网页界面所需信息；</w:t>
      </w:r>
    </w:p>
    <w:p w14:paraId="59BB3B4A">
      <w:pPr>
        <w:tabs>
          <w:tab w:val="left" w:pos="6996"/>
        </w:tabs>
        <w:snapToGrid w:val="0"/>
        <w:spacing w:line="360" w:lineRule="auto"/>
        <w:ind w:firstLine="480" w:firstLineChars="200"/>
        <w:jc w:val="left"/>
        <w:rPr>
          <w:rFonts w:ascii="宋体" w:hAnsi="宋体"/>
          <w:bCs/>
          <w:color w:val="FF0000"/>
          <w:sz w:val="24"/>
        </w:rPr>
      </w:pPr>
      <w:r>
        <w:rPr>
          <w:rFonts w:ascii="宋体" w:hAnsi="宋体"/>
          <w:bCs/>
          <w:color w:val="FF0000"/>
          <w:sz w:val="24"/>
        </w:rPr>
        <w:t>2</w:t>
      </w:r>
      <w:r>
        <w:rPr>
          <w:rFonts w:hint="eastAsia" w:ascii="宋体" w:hAnsi="宋体"/>
          <w:bCs/>
          <w:color w:val="FF0000"/>
          <w:sz w:val="24"/>
        </w:rPr>
        <w:t>、请按</w:t>
      </w:r>
      <w:r>
        <w:rPr>
          <w:rFonts w:ascii="宋体" w:hAnsi="宋体"/>
          <w:bCs/>
          <w:color w:val="FF0000"/>
          <w:sz w:val="24"/>
        </w:rPr>
        <w:t>要求</w:t>
      </w:r>
      <w:r>
        <w:rPr>
          <w:rFonts w:hint="eastAsia" w:ascii="宋体" w:hAnsi="宋体"/>
          <w:bCs/>
          <w:color w:val="FF0000"/>
          <w:sz w:val="24"/>
        </w:rPr>
        <w:t>整理“论文目录”（论文目录格式见网站“公告及下载”或者下方论文目录参考格式），以“姓名-单位-论文篇数”命名word文档；</w:t>
      </w:r>
    </w:p>
    <w:p w14:paraId="6806AB05">
      <w:pPr>
        <w:tabs>
          <w:tab w:val="left" w:pos="6996"/>
        </w:tabs>
        <w:snapToGrid w:val="0"/>
        <w:spacing w:line="360" w:lineRule="auto"/>
        <w:ind w:firstLine="480" w:firstLineChars="200"/>
        <w:jc w:val="left"/>
        <w:rPr>
          <w:rFonts w:ascii="宋体" w:hAnsi="宋体"/>
          <w:bCs/>
          <w:color w:val="FF0000"/>
          <w:sz w:val="24"/>
        </w:rPr>
      </w:pPr>
      <w:r>
        <w:rPr>
          <w:rFonts w:ascii="宋体" w:hAnsi="宋体"/>
          <w:bCs/>
          <w:color w:val="FF0000"/>
          <w:sz w:val="24"/>
        </w:rPr>
        <w:t>3</w:t>
      </w:r>
      <w:r>
        <w:rPr>
          <w:rFonts w:hint="eastAsia" w:ascii="宋体" w:hAnsi="宋体"/>
          <w:bCs/>
          <w:color w:val="FF0000"/>
          <w:sz w:val="24"/>
        </w:rPr>
        <w:t>、在论文收引检索委托界面上传“论文目录”，完成所有信息填写后提交论文收引检索委托至查新管理平台。</w:t>
      </w:r>
    </w:p>
    <w:p w14:paraId="34496741">
      <w:pPr>
        <w:tabs>
          <w:tab w:val="left" w:pos="6996"/>
        </w:tabs>
        <w:snapToGrid w:val="0"/>
        <w:spacing w:line="360" w:lineRule="auto"/>
        <w:ind w:firstLine="480" w:firstLineChars="200"/>
        <w:jc w:val="left"/>
        <w:rPr>
          <w:rFonts w:ascii="宋体" w:hAnsi="宋体"/>
          <w:bCs/>
          <w:color w:val="FF0000"/>
          <w:sz w:val="24"/>
        </w:rPr>
      </w:pPr>
      <w:r>
        <w:rPr>
          <w:rFonts w:hint="eastAsia" w:ascii="宋体" w:hAnsi="宋体"/>
          <w:bCs/>
          <w:color w:val="FF0000"/>
          <w:sz w:val="24"/>
        </w:rPr>
        <w:t>（查新平台用户帮助手册见网站“公告及下载”）。</w:t>
      </w:r>
    </w:p>
    <w:p w14:paraId="3C61A968">
      <w:pPr>
        <w:tabs>
          <w:tab w:val="left" w:pos="6996"/>
        </w:tabs>
        <w:snapToGrid w:val="0"/>
        <w:spacing w:line="360" w:lineRule="auto"/>
        <w:ind w:firstLine="480" w:firstLineChars="200"/>
        <w:jc w:val="left"/>
        <w:rPr>
          <w:rFonts w:hint="eastAsia" w:ascii="宋体" w:hAnsi="宋体"/>
          <w:bCs/>
          <w:color w:val="FF0000"/>
          <w:sz w:val="24"/>
          <w:lang w:eastAsia="zh-CN"/>
        </w:rPr>
      </w:pPr>
      <w:r>
        <w:rPr>
          <w:rFonts w:hint="eastAsia" w:ascii="宋体" w:hAnsi="宋体"/>
          <w:bCs/>
          <w:color w:val="FF0000"/>
          <w:sz w:val="24"/>
        </w:rPr>
        <w:t>本文档附件为收费标准与缴费发票须知，便于您进行缴费等后续操作。如您在查新检索过程中有</w:t>
      </w:r>
      <w:r>
        <w:rPr>
          <w:rFonts w:ascii="宋体" w:hAnsi="宋体"/>
          <w:bCs/>
          <w:color w:val="FF0000"/>
          <w:sz w:val="24"/>
        </w:rPr>
        <w:t>任何疑问，</w:t>
      </w:r>
      <w:r>
        <w:rPr>
          <w:rFonts w:hint="eastAsia" w:ascii="宋体" w:hAnsi="宋体"/>
          <w:bCs/>
          <w:color w:val="FF0000"/>
          <w:sz w:val="24"/>
        </w:rPr>
        <w:t>可随时随地联系我们，E</w:t>
      </w:r>
      <w:r>
        <w:rPr>
          <w:rFonts w:ascii="宋体" w:hAnsi="宋体"/>
          <w:bCs/>
          <w:color w:val="FF0000"/>
          <w:sz w:val="24"/>
        </w:rPr>
        <w:t>mail</w:t>
      </w:r>
      <w:r>
        <w:rPr>
          <w:rFonts w:hint="eastAsia" w:ascii="宋体" w:hAnsi="宋体"/>
          <w:bCs/>
          <w:color w:val="FF0000"/>
          <w:sz w:val="24"/>
        </w:rPr>
        <w:t>：jiansuo@lzb.ac.cn，电话：0</w:t>
      </w:r>
      <w:r>
        <w:rPr>
          <w:rFonts w:ascii="宋体" w:hAnsi="宋体"/>
          <w:bCs/>
          <w:color w:val="FF0000"/>
          <w:sz w:val="24"/>
        </w:rPr>
        <w:t>931-8274297</w:t>
      </w:r>
      <w:r>
        <w:rPr>
          <w:rFonts w:hint="eastAsia" w:ascii="宋体" w:hAnsi="宋体"/>
          <w:bCs/>
          <w:color w:val="FF0000"/>
          <w:sz w:val="24"/>
        </w:rPr>
        <w:t>，QQ服务群：852151684，我们将竭诚为您提供优质的查新检索服务</w:t>
      </w:r>
      <w:r>
        <w:rPr>
          <w:rFonts w:hint="eastAsia" w:ascii="宋体" w:hAnsi="宋体"/>
          <w:bCs/>
          <w:color w:val="FF0000"/>
          <w:sz w:val="24"/>
          <w:lang w:eastAsia="zh-CN"/>
        </w:rPr>
        <w:t>。</w:t>
      </w:r>
    </w:p>
    <w:p w14:paraId="70878FDB">
      <w:pPr>
        <w:tabs>
          <w:tab w:val="left" w:pos="6996"/>
        </w:tabs>
        <w:snapToGrid w:val="0"/>
        <w:spacing w:line="360" w:lineRule="auto"/>
        <w:ind w:firstLine="482" w:firstLineChars="200"/>
        <w:jc w:val="left"/>
        <w:rPr>
          <w:rFonts w:hint="eastAsia" w:ascii="宋体" w:hAnsi="宋体"/>
          <w:b/>
          <w:color w:val="FF0000"/>
          <w:sz w:val="24"/>
          <w:lang w:val="en-US" w:eastAsia="zh-CN"/>
        </w:rPr>
      </w:pPr>
      <w:r>
        <w:rPr>
          <w:rFonts w:hint="eastAsia" w:ascii="宋体" w:hAnsi="宋体"/>
          <w:b/>
          <w:color w:val="FF0000"/>
          <w:sz w:val="24"/>
        </w:rPr>
        <w:t>（</w:t>
      </w:r>
      <w:r>
        <w:rPr>
          <w:rFonts w:hint="eastAsia" w:ascii="宋体" w:hAnsi="宋体"/>
          <w:b/>
          <w:color w:val="FF0000"/>
          <w:sz w:val="24"/>
          <w:lang w:val="en-US" w:eastAsia="zh-CN"/>
        </w:rPr>
        <w:t>文档中</w:t>
      </w:r>
      <w:r>
        <w:rPr>
          <w:rFonts w:hint="eastAsia" w:ascii="宋体" w:hAnsi="宋体"/>
          <w:b/>
          <w:color w:val="FF0000"/>
          <w:sz w:val="24"/>
        </w:rPr>
        <w:t>红字部分为提醒文字，可删除）。</w:t>
      </w:r>
    </w:p>
    <w:tbl>
      <w:tblPr>
        <w:tblStyle w:val="8"/>
        <w:tblW w:w="0" w:type="auto"/>
        <w:tblInd w:w="11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512"/>
      </w:tblGrid>
      <w:tr w14:paraId="6126B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512" w:type="dxa"/>
            <w:noWrap w:val="0"/>
            <w:vAlign w:val="top"/>
          </w:tcPr>
          <w:p w14:paraId="49881158">
            <w:pPr>
              <w:rPr>
                <w:b/>
                <w:bCs/>
                <w:szCs w:val="21"/>
              </w:rPr>
            </w:pPr>
            <w:r>
              <w:rPr>
                <w:rFonts w:hint="eastAsia" w:ascii="宋体" w:hAnsi="宋体"/>
                <w:b/>
                <w:bCs w:val="0"/>
                <w:color w:val="auto"/>
                <w:sz w:val="30"/>
                <w:szCs w:val="30"/>
                <w:lang w:val="en-US" w:eastAsia="zh-CN"/>
              </w:rPr>
              <w:t>附</w:t>
            </w:r>
            <w:r>
              <w:rPr>
                <w:rFonts w:hint="eastAsia" w:ascii="宋体" w:hAnsi="宋体"/>
                <w:b/>
                <w:bCs w:val="0"/>
                <w:color w:val="auto"/>
                <w:sz w:val="30"/>
                <w:szCs w:val="30"/>
              </w:rPr>
              <w:t>论文目录</w:t>
            </w:r>
            <w:r>
              <w:rPr>
                <w:b/>
                <w:bCs/>
                <w:szCs w:val="21"/>
              </w:rPr>
              <w:t>：</w:t>
            </w:r>
          </w:p>
          <w:p w14:paraId="5ED7747C">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color w:val="FF0000"/>
                <w:szCs w:val="21"/>
              </w:rPr>
            </w:pPr>
            <w:r>
              <w:rPr>
                <w:rFonts w:hint="eastAsia"/>
                <w:color w:val="FF0000"/>
                <w:szCs w:val="21"/>
              </w:rPr>
              <w:t>请参考GB7714-87《文后参考文献著录规则》，罗列论文或者著作。</w:t>
            </w:r>
          </w:p>
          <w:p w14:paraId="023C57B5">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b/>
                <w:bCs/>
                <w:color w:val="FF0000"/>
                <w:szCs w:val="21"/>
              </w:rPr>
            </w:pPr>
            <w:r>
              <w:rPr>
                <w:rFonts w:hint="eastAsia"/>
                <w:b/>
                <w:bCs/>
                <w:color w:val="FF0000"/>
                <w:szCs w:val="21"/>
              </w:rPr>
              <w:t>论文示例：</w:t>
            </w:r>
          </w:p>
          <w:p w14:paraId="128B09A6">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color w:val="FF0000"/>
                <w:szCs w:val="21"/>
              </w:rPr>
            </w:pPr>
            <w:r>
              <w:rPr>
                <w:rFonts w:hint="eastAsia"/>
                <w:color w:val="FF0000"/>
                <w:szCs w:val="21"/>
              </w:rPr>
              <w:t>1 张三,李四,（全部作者）. 论文题目[J]. 期刊名称,年代,卷 (期): 起-止页码.</w:t>
            </w:r>
          </w:p>
          <w:p w14:paraId="5BADD15B">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color w:val="FF0000"/>
                <w:szCs w:val="21"/>
              </w:rPr>
            </w:pPr>
            <w:r>
              <w:rPr>
                <w:rFonts w:hint="eastAsia"/>
                <w:color w:val="FF0000"/>
                <w:szCs w:val="21"/>
                <w:lang w:val="en-US" w:eastAsia="zh-CN"/>
              </w:rPr>
              <w:t>2</w:t>
            </w:r>
            <w:r>
              <w:rPr>
                <w:rFonts w:hint="eastAsia"/>
                <w:color w:val="FF0000"/>
                <w:szCs w:val="21"/>
              </w:rPr>
              <w:t xml:space="preserve"> …</w:t>
            </w:r>
          </w:p>
          <w:p w14:paraId="5E69D80C">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b/>
                <w:bCs/>
                <w:color w:val="FF0000"/>
                <w:szCs w:val="21"/>
              </w:rPr>
            </w:pPr>
            <w:r>
              <w:rPr>
                <w:rFonts w:hint="eastAsia"/>
                <w:b/>
                <w:bCs/>
                <w:color w:val="FF0000"/>
                <w:szCs w:val="21"/>
              </w:rPr>
              <w:t>著作示例：</w:t>
            </w:r>
          </w:p>
          <w:p w14:paraId="4F3F0CF9">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eastAsia="宋体"/>
                <w:color w:val="FF0000"/>
                <w:szCs w:val="21"/>
                <w:lang w:val="en-US" w:eastAsia="zh-CN"/>
              </w:rPr>
            </w:pPr>
            <w:r>
              <w:rPr>
                <w:rFonts w:hint="eastAsia"/>
                <w:color w:val="FF0000"/>
                <w:szCs w:val="21"/>
              </w:rPr>
              <w:t>1 张三</w:t>
            </w:r>
            <w:r>
              <w:rPr>
                <w:rFonts w:hint="eastAsia"/>
                <w:color w:val="FF0000"/>
                <w:szCs w:val="21"/>
                <w:lang w:val="en-US" w:eastAsia="zh-CN"/>
              </w:rPr>
              <w:t>,</w:t>
            </w:r>
            <w:r>
              <w:rPr>
                <w:rFonts w:hint="eastAsia"/>
                <w:color w:val="FF0000"/>
                <w:szCs w:val="21"/>
              </w:rPr>
              <w:t>李四</w:t>
            </w:r>
            <w:r>
              <w:rPr>
                <w:rFonts w:hint="eastAsia"/>
                <w:color w:val="FF0000"/>
                <w:szCs w:val="21"/>
                <w:lang w:val="en-US" w:eastAsia="zh-CN"/>
              </w:rPr>
              <w:t>,</w:t>
            </w:r>
            <w:r>
              <w:rPr>
                <w:rFonts w:hint="eastAsia"/>
                <w:color w:val="FF0000"/>
                <w:szCs w:val="21"/>
              </w:rPr>
              <w:t>（全部作者）</w:t>
            </w:r>
            <w:r>
              <w:rPr>
                <w:rFonts w:hint="eastAsia"/>
                <w:color w:val="FF0000"/>
                <w:szCs w:val="21"/>
                <w:lang w:val="en-US" w:eastAsia="zh-CN"/>
              </w:rPr>
              <w:t xml:space="preserve">. </w:t>
            </w:r>
            <w:r>
              <w:rPr>
                <w:rFonts w:hint="eastAsia"/>
                <w:color w:val="FF0000"/>
                <w:szCs w:val="21"/>
              </w:rPr>
              <w:t>书名[M]．出版地:出版社, 出版年</w:t>
            </w:r>
            <w:r>
              <w:rPr>
                <w:rFonts w:hint="eastAsia"/>
                <w:color w:val="FF0000"/>
                <w:szCs w:val="21"/>
                <w:lang w:val="en-US" w:eastAsia="zh-CN"/>
              </w:rPr>
              <w:t>.</w:t>
            </w:r>
          </w:p>
          <w:p w14:paraId="7ED3FED5">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color w:val="FF0000"/>
                <w:szCs w:val="21"/>
              </w:rPr>
            </w:pPr>
            <w:r>
              <w:rPr>
                <w:rFonts w:hint="eastAsia"/>
                <w:color w:val="FF0000"/>
                <w:szCs w:val="21"/>
              </w:rPr>
              <w:t>2 …</w:t>
            </w:r>
          </w:p>
          <w:p w14:paraId="5C67D05E">
            <w:pPr>
              <w:keepNext w:val="0"/>
              <w:keepLines w:val="0"/>
              <w:pageBreakBefore w:val="0"/>
              <w:widowControl w:val="0"/>
              <w:kinsoku/>
              <w:wordWrap/>
              <w:overflowPunct/>
              <w:topLinePunct w:val="0"/>
              <w:autoSpaceDE/>
              <w:autoSpaceDN/>
              <w:bidi w:val="0"/>
              <w:adjustRightInd/>
              <w:snapToGrid w:val="0"/>
              <w:spacing w:line="240" w:lineRule="atLeast"/>
              <w:textAlignment w:val="auto"/>
              <w:rPr>
                <w:rFonts w:hint="eastAsia"/>
                <w:color w:val="FF0000"/>
                <w:szCs w:val="21"/>
              </w:rPr>
            </w:pPr>
            <w:r>
              <w:rPr>
                <w:rFonts w:hint="eastAsia"/>
                <w:color w:val="FF0000"/>
                <w:szCs w:val="21"/>
              </w:rPr>
              <w:t>注意：如果要查询著作的SCI引用，请将以上信息的英文信息同时列出。</w:t>
            </w:r>
          </w:p>
          <w:p w14:paraId="4ADF4E5E">
            <w:pPr>
              <w:rPr>
                <w:rFonts w:hint="eastAsia"/>
                <w:color w:val="auto"/>
                <w:szCs w:val="21"/>
              </w:rPr>
            </w:pPr>
          </w:p>
          <w:p w14:paraId="351D6D98">
            <w:pPr>
              <w:rPr>
                <w:rFonts w:hint="eastAsia" w:ascii="Times New Roman" w:hAnsi="Times New Roman" w:eastAsia="宋体" w:cs="Times New Roman"/>
                <w:color w:val="auto"/>
                <w:szCs w:val="21"/>
              </w:rPr>
            </w:pPr>
          </w:p>
          <w:p w14:paraId="410029D4">
            <w:pPr>
              <w:rPr>
                <w:rFonts w:hint="eastAsia" w:ascii="Times New Roman" w:hAnsi="Times New Roman" w:eastAsia="宋体" w:cs="Times New Roman"/>
                <w:color w:val="auto"/>
                <w:szCs w:val="21"/>
              </w:rPr>
            </w:pPr>
          </w:p>
          <w:p w14:paraId="3B9494F5">
            <w:pPr>
              <w:rPr>
                <w:rFonts w:hint="eastAsia" w:ascii="Times New Roman" w:hAnsi="Times New Roman" w:eastAsia="宋体" w:cs="Times New Roman"/>
                <w:color w:val="auto"/>
                <w:szCs w:val="21"/>
              </w:rPr>
            </w:pPr>
          </w:p>
          <w:p w14:paraId="3B1C6C89">
            <w:pPr>
              <w:rPr>
                <w:rFonts w:hint="eastAsia" w:ascii="宋体" w:hAnsi="宋体"/>
                <w:bCs/>
                <w:color w:val="FF0000"/>
                <w:sz w:val="30"/>
                <w:szCs w:val="30"/>
                <w:vertAlign w:val="baseline"/>
              </w:rPr>
            </w:pPr>
          </w:p>
          <w:p w14:paraId="10F91EE2">
            <w:pPr>
              <w:rPr>
                <w:rFonts w:hint="eastAsia" w:ascii="宋体" w:hAnsi="宋体"/>
                <w:bCs/>
                <w:color w:val="FF0000"/>
                <w:sz w:val="30"/>
                <w:szCs w:val="30"/>
                <w:vertAlign w:val="baseline"/>
              </w:rPr>
            </w:pPr>
          </w:p>
          <w:p w14:paraId="04949B53">
            <w:pPr>
              <w:rPr>
                <w:rFonts w:hint="eastAsia" w:ascii="宋体" w:hAnsi="宋体"/>
                <w:bCs/>
                <w:color w:val="FF0000"/>
                <w:sz w:val="30"/>
                <w:szCs w:val="30"/>
                <w:vertAlign w:val="baseline"/>
              </w:rPr>
            </w:pPr>
          </w:p>
        </w:tc>
      </w:tr>
    </w:tbl>
    <w:p w14:paraId="2E1F3B61">
      <w:pPr>
        <w:tabs>
          <w:tab w:val="left" w:pos="6996"/>
        </w:tabs>
        <w:snapToGrid w:val="0"/>
        <w:rPr>
          <w:rFonts w:hint="eastAsia" w:ascii="黑体" w:hAnsi="黑体" w:eastAsia="黑体"/>
          <w:b/>
          <w:sz w:val="30"/>
          <w:szCs w:val="30"/>
        </w:rPr>
      </w:pPr>
    </w:p>
    <w:p w14:paraId="6E49256B">
      <w:pPr>
        <w:tabs>
          <w:tab w:val="left" w:pos="6996"/>
        </w:tabs>
        <w:snapToGrid w:val="0"/>
        <w:rPr>
          <w:rFonts w:hint="eastAsia" w:ascii="黑体" w:hAnsi="黑体" w:eastAsia="黑体"/>
          <w:b/>
          <w:sz w:val="30"/>
          <w:szCs w:val="30"/>
        </w:rPr>
      </w:pPr>
    </w:p>
    <w:p w14:paraId="70B85D2B">
      <w:pPr>
        <w:tabs>
          <w:tab w:val="left" w:pos="6996"/>
        </w:tabs>
        <w:snapToGrid w:val="0"/>
        <w:rPr>
          <w:rFonts w:hint="eastAsia" w:ascii="黑体" w:hAnsi="黑体" w:eastAsia="黑体"/>
          <w:b/>
          <w:sz w:val="30"/>
          <w:szCs w:val="30"/>
        </w:rPr>
      </w:pPr>
    </w:p>
    <w:p w14:paraId="56509916">
      <w:pPr>
        <w:tabs>
          <w:tab w:val="left" w:pos="6996"/>
        </w:tabs>
        <w:snapToGrid w:val="0"/>
        <w:rPr>
          <w:rFonts w:ascii="黑体" w:hAnsi="黑体" w:eastAsia="黑体"/>
          <w:b/>
          <w:sz w:val="30"/>
          <w:szCs w:val="30"/>
        </w:rPr>
      </w:pPr>
      <w:r>
        <w:rPr>
          <w:rFonts w:hint="eastAsia" w:ascii="黑体" w:hAnsi="黑体" w:eastAsia="黑体"/>
          <w:b/>
          <w:sz w:val="30"/>
          <w:szCs w:val="30"/>
        </w:rPr>
        <w:t>附件一</w:t>
      </w:r>
      <w:r>
        <w:rPr>
          <w:rFonts w:ascii="黑体" w:hAnsi="黑体" w:eastAsia="黑体"/>
          <w:b/>
          <w:sz w:val="30"/>
          <w:szCs w:val="30"/>
        </w:rPr>
        <w:t>：</w:t>
      </w:r>
    </w:p>
    <w:p w14:paraId="728EFF78">
      <w:pPr>
        <w:widowControl/>
        <w:spacing w:line="400" w:lineRule="exact"/>
        <w:jc w:val="center"/>
        <w:rPr>
          <w:b/>
          <w:kern w:val="0"/>
          <w:sz w:val="32"/>
          <w:szCs w:val="32"/>
        </w:rPr>
      </w:pPr>
    </w:p>
    <w:p w14:paraId="38AA9F64">
      <w:pPr>
        <w:widowControl/>
        <w:spacing w:line="400" w:lineRule="exact"/>
        <w:jc w:val="center"/>
        <w:rPr>
          <w:b/>
          <w:kern w:val="0"/>
          <w:sz w:val="30"/>
          <w:szCs w:val="30"/>
        </w:rPr>
      </w:pPr>
      <w:r>
        <w:rPr>
          <w:b/>
          <w:kern w:val="0"/>
          <w:sz w:val="30"/>
          <w:szCs w:val="30"/>
        </w:rPr>
        <w:t>中国科学院兰州查新咨询中心</w:t>
      </w:r>
      <w:r>
        <w:rPr>
          <w:rFonts w:hint="eastAsia"/>
          <w:b/>
          <w:kern w:val="0"/>
          <w:sz w:val="30"/>
          <w:szCs w:val="30"/>
        </w:rPr>
        <w:t>论文收引检索</w:t>
      </w:r>
      <w:r>
        <w:rPr>
          <w:b/>
          <w:kern w:val="0"/>
          <w:sz w:val="30"/>
          <w:szCs w:val="30"/>
        </w:rPr>
        <w:t>收费标准</w:t>
      </w:r>
    </w:p>
    <w:p w14:paraId="5861A5FD">
      <w:pPr>
        <w:widowControl/>
        <w:spacing w:line="400" w:lineRule="exact"/>
        <w:jc w:val="center"/>
        <w:rPr>
          <w:b/>
          <w:kern w:val="0"/>
          <w:sz w:val="32"/>
          <w:szCs w:val="32"/>
        </w:rPr>
      </w:pPr>
    </w:p>
    <w:p w14:paraId="097F2F16">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rPr>
      </w:pPr>
      <w:r>
        <w:rPr>
          <w:rFonts w:hint="eastAsia"/>
          <w:b/>
          <w:bCs/>
        </w:rPr>
        <w:t>引证检索收费标准</w:t>
      </w:r>
    </w:p>
    <w:p w14:paraId="37827094">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rPr>
      </w:pPr>
      <w:r>
        <w:rPr>
          <w:rFonts w:hint="eastAsia"/>
          <w:b/>
          <w:bCs/>
        </w:rPr>
        <w:t>总费用 = 证明费 + 数据库使用费 + 检索费 + 其它费用</w:t>
      </w:r>
    </w:p>
    <w:p w14:paraId="2C0474F1">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color w:val="auto"/>
        </w:rPr>
      </w:pPr>
      <w:r>
        <w:rPr>
          <w:rFonts w:hint="eastAsia"/>
          <w:b/>
          <w:bCs/>
          <w:color w:val="auto"/>
        </w:rPr>
        <w:t>（1）证明费：101元/份（5篇以内收录检索委托免收数据库使用费、检索费、其它等费用，即5篇以内收录委托收费为101元）。需要多份证明，每增加1份按10元收取。</w:t>
      </w:r>
    </w:p>
    <w:p w14:paraId="42A29829">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rPr>
      </w:pPr>
      <w:r>
        <w:rPr>
          <w:rFonts w:hint="eastAsia"/>
          <w:b/>
          <w:bCs/>
        </w:rPr>
        <w:t>（2）数据库使用费：10元起，提供10篇以上论文，每篇每库1元。</w:t>
      </w:r>
    </w:p>
    <w:p w14:paraId="1AD2D4C6">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rPr>
      </w:pPr>
      <w:r>
        <w:rPr>
          <w:rFonts w:hint="eastAsia"/>
          <w:b/>
          <w:bCs/>
        </w:rPr>
        <w:t>（3）检索费</w:t>
      </w:r>
    </w:p>
    <w:p w14:paraId="753CEE63">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rPr>
      </w:pPr>
      <w:r>
        <w:rPr>
          <w:rFonts w:hint="eastAsia"/>
          <w:b/>
          <w:bCs/>
        </w:rPr>
        <w:t>①收录检索费：5元/篇</w:t>
      </w:r>
    </w:p>
    <w:p w14:paraId="007932F2">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rPr>
      </w:pPr>
      <w:r>
        <w:rPr>
          <w:rFonts w:hint="eastAsia"/>
          <w:b/>
          <w:bCs/>
        </w:rPr>
        <w:t>②引用检索费：5元/次</w:t>
      </w:r>
    </w:p>
    <w:p w14:paraId="3462B688">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rPr>
      </w:pPr>
      <w:r>
        <w:rPr>
          <w:rFonts w:hint="eastAsia"/>
          <w:b/>
          <w:bCs/>
        </w:rPr>
        <w:t>（针对中国科学院用户有以下优惠措施：引用检索费：3元/次（1-200次）2元/次（200次以上））</w:t>
      </w:r>
    </w:p>
    <w:p w14:paraId="49609875">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rPr>
      </w:pPr>
      <w:r>
        <w:rPr>
          <w:rFonts w:hint="eastAsia"/>
          <w:b/>
          <w:bCs/>
        </w:rPr>
        <w:t>③其他检索：源刊证明：50元/篇；H指数：50元/人/次（仅限于已在中心进行收录引用检索的用户）；影响因子、JCR分区、中科院文献情报中心期刊分区：5元/次；高被引或热点证明：20元/篇。</w:t>
      </w:r>
    </w:p>
    <w:p w14:paraId="356325B5">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rPr>
      </w:pPr>
      <w:r>
        <w:rPr>
          <w:rFonts w:hint="eastAsia"/>
          <w:b/>
          <w:bCs/>
        </w:rPr>
        <w:t>（4）其它费用</w:t>
      </w:r>
    </w:p>
    <w:p w14:paraId="747408D8">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rPr>
      </w:pPr>
      <w:r>
        <w:rPr>
          <w:rFonts w:hint="eastAsia"/>
          <w:b/>
          <w:bCs/>
        </w:rPr>
        <w:t>①每份检索报告提供原件2份，需要多份证明，每增加1份按10元收取。</w:t>
      </w:r>
    </w:p>
    <w:p w14:paraId="5C99E3EA">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rPr>
      </w:pPr>
      <w:r>
        <w:rPr>
          <w:rFonts w:hint="eastAsia"/>
          <w:b/>
          <w:bCs/>
        </w:rPr>
        <w:t>②检索报告费用在800元以上，免收快递费、扫描费。</w:t>
      </w:r>
    </w:p>
    <w:p w14:paraId="05D7C8D5">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rPr>
      </w:pPr>
      <w:r>
        <w:rPr>
          <w:rFonts w:hint="eastAsia"/>
          <w:b/>
          <w:bCs/>
        </w:rPr>
        <w:t>③用户如需加急，由双方协商后确定工作时间和加急费用，加急时间参考论文篇数与检索时间。</w:t>
      </w:r>
    </w:p>
    <w:p w14:paraId="0DE342EC">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color w:val="auto"/>
        </w:rPr>
      </w:pPr>
      <w:r>
        <w:rPr>
          <w:rFonts w:hint="eastAsia"/>
          <w:b/>
          <w:bCs/>
          <w:color w:val="auto"/>
        </w:rPr>
        <w:t>④若有论文顺序调整、删减替换、标注作者类型等工作，视情况收取一定费用。</w:t>
      </w:r>
    </w:p>
    <w:p w14:paraId="4A53F613">
      <w:pPr>
        <w:keepNext w:val="0"/>
        <w:keepLines w:val="0"/>
        <w:pageBreakBefore w:val="0"/>
        <w:widowControl w:val="0"/>
        <w:kinsoku/>
        <w:wordWrap/>
        <w:overflowPunct/>
        <w:topLinePunct w:val="0"/>
        <w:autoSpaceDE/>
        <w:autoSpaceDN/>
        <w:bidi w:val="0"/>
        <w:adjustRightInd/>
        <w:snapToGrid w:val="0"/>
        <w:spacing w:line="360" w:lineRule="auto"/>
        <w:textAlignment w:val="auto"/>
        <w:rPr>
          <w:rFonts w:hint="eastAsia"/>
          <w:b/>
          <w:bCs/>
          <w:color w:val="auto"/>
        </w:rPr>
      </w:pPr>
      <w:r>
        <w:rPr>
          <w:rFonts w:hint="eastAsia"/>
          <w:b/>
          <w:bCs/>
          <w:color w:val="auto"/>
        </w:rPr>
        <w:t>（</w:t>
      </w:r>
      <w:r>
        <w:rPr>
          <w:rFonts w:hint="eastAsia"/>
          <w:b/>
          <w:bCs/>
          <w:color w:val="auto"/>
          <w:lang w:val="en-US" w:eastAsia="zh-CN"/>
        </w:rPr>
        <w:t>5</w:t>
      </w:r>
      <w:r>
        <w:rPr>
          <w:rFonts w:hint="eastAsia"/>
          <w:b/>
          <w:bCs/>
          <w:color w:val="auto"/>
        </w:rPr>
        <w:t>）论文检索篇数与所需工作时间说明</w:t>
      </w:r>
      <w:r>
        <w:rPr>
          <w:rFonts w:hint="eastAsia"/>
          <w:b/>
          <w:bCs/>
          <w:color w:val="auto"/>
          <w:lang w:val="en-US" w:eastAsia="zh-CN"/>
        </w:rPr>
        <w:t>:</w:t>
      </w:r>
    </w:p>
    <w:p w14:paraId="4B0A3D80">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val="0"/>
          <w:bCs w:val="0"/>
          <w:color w:val="auto"/>
          <w:lang w:val="en-US" w:eastAsia="zh-CN"/>
        </w:rPr>
      </w:pPr>
      <w:r>
        <w:rPr>
          <w:rFonts w:hint="eastAsia"/>
          <w:b/>
          <w:bCs/>
          <w:color w:val="auto"/>
          <w:lang w:val="en-US" w:eastAsia="zh-CN"/>
        </w:rPr>
        <w:t>①N≤10篇（仅进行收录检索）：</w:t>
      </w:r>
      <w:r>
        <w:rPr>
          <w:rFonts w:hint="eastAsia"/>
          <w:b w:val="0"/>
          <w:bCs w:val="0"/>
          <w:color w:val="auto"/>
          <w:lang w:val="en-US" w:eastAsia="zh-CN"/>
        </w:rPr>
        <w:t>1个工作日，不收加急费（</w:t>
      </w:r>
      <w:r>
        <w:rPr>
          <w:rFonts w:hint="eastAsia"/>
          <w:b w:val="0"/>
          <w:bCs w:val="0"/>
          <w:color w:val="auto"/>
        </w:rPr>
        <w:t>委托当天不计入工作时间，以查新平台提交时间为准</w:t>
      </w:r>
      <w:r>
        <w:rPr>
          <w:rFonts w:hint="eastAsia"/>
          <w:b w:val="0"/>
          <w:bCs w:val="0"/>
          <w:color w:val="auto"/>
          <w:lang w:eastAsia="zh-CN"/>
        </w:rPr>
        <w:t>）</w:t>
      </w:r>
      <w:r>
        <w:rPr>
          <w:rFonts w:hint="eastAsia"/>
          <w:b w:val="0"/>
          <w:bCs w:val="0"/>
          <w:color w:val="auto"/>
          <w:lang w:val="en-US" w:eastAsia="zh-CN"/>
        </w:rPr>
        <w:t>；</w:t>
      </w:r>
    </w:p>
    <w:p w14:paraId="35157046">
      <w:pPr>
        <w:keepNext w:val="0"/>
        <w:keepLines w:val="0"/>
        <w:pageBreakBefore w:val="0"/>
        <w:widowControl w:val="0"/>
        <w:kinsoku/>
        <w:wordWrap/>
        <w:overflowPunct/>
        <w:topLinePunct w:val="0"/>
        <w:autoSpaceDE/>
        <w:autoSpaceDN/>
        <w:bidi w:val="0"/>
        <w:adjustRightInd/>
        <w:snapToGrid w:val="0"/>
        <w:spacing w:line="360" w:lineRule="auto"/>
        <w:ind w:firstLine="422" w:firstLineChars="200"/>
        <w:textAlignment w:val="auto"/>
        <w:rPr>
          <w:rFonts w:hint="eastAsia"/>
          <w:b/>
          <w:bCs/>
          <w:color w:val="auto"/>
          <w:lang w:val="en-US" w:eastAsia="zh-CN"/>
        </w:rPr>
      </w:pPr>
      <w:r>
        <w:rPr>
          <w:rFonts w:hint="eastAsia"/>
          <w:b/>
          <w:bCs/>
          <w:color w:val="auto"/>
          <w:lang w:val="en-US" w:eastAsia="zh-CN"/>
        </w:rPr>
        <w:t>②N≤10</w:t>
      </w:r>
      <w:r>
        <w:rPr>
          <w:rFonts w:hint="eastAsia"/>
          <w:color w:val="auto"/>
        </w:rPr>
        <w:t>篇</w:t>
      </w:r>
      <w:r>
        <w:rPr>
          <w:rFonts w:hint="eastAsia"/>
          <w:color w:val="auto"/>
          <w:lang w:eastAsia="zh-CN"/>
        </w:rPr>
        <w:t>（</w:t>
      </w:r>
      <w:r>
        <w:rPr>
          <w:rFonts w:hint="eastAsia"/>
          <w:b/>
          <w:bCs/>
          <w:color w:val="auto"/>
          <w:lang w:val="en-US" w:eastAsia="zh-CN"/>
        </w:rPr>
        <w:t>同时</w:t>
      </w:r>
      <w:r>
        <w:rPr>
          <w:rFonts w:hint="eastAsia"/>
          <w:b/>
          <w:bCs/>
          <w:color w:val="auto"/>
        </w:rPr>
        <w:t>进行收录</w:t>
      </w:r>
      <w:r>
        <w:rPr>
          <w:rFonts w:hint="eastAsia"/>
          <w:b/>
          <w:bCs/>
          <w:color w:val="auto"/>
          <w:lang w:val="en-US" w:eastAsia="zh-CN"/>
        </w:rPr>
        <w:t>和</w:t>
      </w:r>
      <w:r>
        <w:rPr>
          <w:rFonts w:hint="eastAsia"/>
          <w:b/>
          <w:bCs/>
          <w:color w:val="auto"/>
        </w:rPr>
        <w:t>引用检索</w:t>
      </w:r>
      <w:r>
        <w:rPr>
          <w:rFonts w:hint="eastAsia"/>
          <w:b/>
          <w:bCs/>
          <w:color w:val="auto"/>
          <w:lang w:eastAsia="zh-CN"/>
        </w:rPr>
        <w:t>）</w:t>
      </w:r>
      <w:r>
        <w:rPr>
          <w:rFonts w:hint="eastAsia"/>
          <w:b/>
          <w:bCs/>
          <w:color w:val="auto"/>
          <w:lang w:val="en-US" w:eastAsia="zh-CN"/>
        </w:rPr>
        <w:t>及10篇以上，只查收录的提前一个工作日收取100加急费，同时查收录和引用提前一个工作日收取200加急费，委托当天不计入工作时间，以查新平台提交时间为准）：</w:t>
      </w:r>
    </w:p>
    <w:p w14:paraId="1EC2E34E">
      <w:pPr>
        <w:keepNext w:val="0"/>
        <w:keepLines w:val="0"/>
        <w:pageBreakBefore w:val="0"/>
        <w:widowControl w:val="0"/>
        <w:kinsoku/>
        <w:wordWrap/>
        <w:overflowPunct/>
        <w:topLinePunct w:val="0"/>
        <w:autoSpaceDE/>
        <w:autoSpaceDN/>
        <w:bidi w:val="0"/>
        <w:adjustRightInd/>
        <w:snapToGrid w:val="0"/>
        <w:spacing w:line="360" w:lineRule="auto"/>
        <w:ind w:firstLine="420" w:firstLineChars="200"/>
        <w:textAlignment w:val="auto"/>
        <w:rPr>
          <w:rFonts w:hint="eastAsia"/>
          <w:color w:val="auto"/>
        </w:rPr>
      </w:pPr>
      <w:r>
        <w:rPr>
          <w:rFonts w:hint="eastAsia"/>
          <w:color w:val="auto"/>
          <w:lang w:val="en-US" w:eastAsia="zh-CN"/>
        </w:rPr>
        <w:t>N≤10</w:t>
      </w:r>
      <w:r>
        <w:rPr>
          <w:rFonts w:hint="eastAsia"/>
          <w:color w:val="auto"/>
        </w:rPr>
        <w:t>篇</w:t>
      </w:r>
      <w:r>
        <w:rPr>
          <w:rFonts w:hint="eastAsia"/>
          <w:color w:val="auto"/>
          <w:lang w:eastAsia="zh-CN"/>
        </w:rPr>
        <w:t>，</w:t>
      </w:r>
      <w:r>
        <w:rPr>
          <w:rFonts w:hint="eastAsia"/>
          <w:color w:val="auto"/>
          <w:lang w:val="en-US" w:eastAsia="zh-CN"/>
        </w:rPr>
        <w:t>2</w:t>
      </w:r>
      <w:r>
        <w:rPr>
          <w:rFonts w:hint="eastAsia"/>
          <w:color w:val="auto"/>
        </w:rPr>
        <w:t>个工作日</w:t>
      </w:r>
      <w:r>
        <w:rPr>
          <w:rFonts w:hint="eastAsia"/>
          <w:color w:val="auto"/>
          <w:lang w:eastAsia="zh-CN"/>
        </w:rPr>
        <w:t>；</w:t>
      </w:r>
      <w:r>
        <w:rPr>
          <w:rFonts w:hint="eastAsia"/>
          <w:color w:val="auto"/>
        </w:rPr>
        <w:t>10＜N≤50篇</w:t>
      </w:r>
      <w:r>
        <w:rPr>
          <w:rFonts w:hint="eastAsia"/>
          <w:color w:val="auto"/>
          <w:lang w:eastAsia="zh-CN"/>
        </w:rPr>
        <w:t>，</w:t>
      </w:r>
      <w:r>
        <w:rPr>
          <w:rFonts w:hint="eastAsia"/>
          <w:color w:val="auto"/>
        </w:rPr>
        <w:t>3个工作日；50＜N≤100篇，5个工作日；100&lt;N≦200篇,8个工作日；200&lt;N≦300篇,10个工作日；300&lt;N≦500篇,12个工作日；500&lt;N≦1000篇,15个工作日；1000篇以上，20个工作日。</w:t>
      </w:r>
    </w:p>
    <w:p w14:paraId="2B866B9B">
      <w:pPr>
        <w:keepNext w:val="0"/>
        <w:keepLines w:val="0"/>
        <w:pageBreakBefore w:val="0"/>
        <w:widowControl w:val="0"/>
        <w:numPr>
          <w:ilvl w:val="0"/>
          <w:numId w:val="1"/>
        </w:numPr>
        <w:kinsoku/>
        <w:wordWrap/>
        <w:overflowPunct/>
        <w:topLinePunct w:val="0"/>
        <w:autoSpaceDE/>
        <w:autoSpaceDN/>
        <w:bidi w:val="0"/>
        <w:adjustRightInd/>
        <w:snapToGrid w:val="0"/>
        <w:spacing w:line="360" w:lineRule="auto"/>
        <w:textAlignment w:val="auto"/>
        <w:rPr>
          <w:rFonts w:hint="eastAsia"/>
          <w:b/>
          <w:bCs/>
          <w:lang w:eastAsia="zh-CN"/>
        </w:rPr>
      </w:pPr>
      <w:r>
        <w:rPr>
          <w:rFonts w:hint="eastAsia"/>
          <w:b/>
          <w:bCs/>
        </w:rPr>
        <w:t>收费标准备注</w:t>
      </w:r>
    </w:p>
    <w:p w14:paraId="32BF2B9A">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jc w:val="both"/>
        <w:textAlignment w:val="auto"/>
        <w:rPr>
          <w:rFonts w:hint="eastAsia"/>
          <w:b w:val="0"/>
          <w:bCs w:val="0"/>
          <w:lang w:eastAsia="zh-CN"/>
        </w:rPr>
      </w:pPr>
      <w:r>
        <w:rPr>
          <w:rFonts w:hint="eastAsia"/>
          <w:b w:val="0"/>
          <w:bCs w:val="0"/>
          <w:lang w:eastAsia="zh-CN"/>
        </w:rPr>
        <w:t>1、检索报告及附件均以查新中心现场打印为准，不接受用户自带打印材料。</w:t>
      </w:r>
    </w:p>
    <w:p w14:paraId="0310D339">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jc w:val="both"/>
        <w:textAlignment w:val="auto"/>
        <w:rPr>
          <w:rFonts w:hint="eastAsia"/>
          <w:b w:val="0"/>
          <w:bCs w:val="0"/>
          <w:lang w:eastAsia="zh-CN"/>
        </w:rPr>
      </w:pPr>
      <w:r>
        <w:rPr>
          <w:rFonts w:hint="eastAsia"/>
          <w:b w:val="0"/>
          <w:bCs w:val="0"/>
          <w:lang w:eastAsia="zh-CN"/>
        </w:rPr>
        <w:t>2、对已盖章检索报告，如原报告再次打印盖章，仅收取增加报告费用；检索报告若需要改动，须重新提交。</w:t>
      </w:r>
    </w:p>
    <w:p w14:paraId="4B84C4C0">
      <w:pPr>
        <w:keepNext w:val="0"/>
        <w:keepLines w:val="0"/>
        <w:pageBreakBefore w:val="0"/>
        <w:widowControl w:val="0"/>
        <w:numPr>
          <w:ilvl w:val="0"/>
          <w:numId w:val="0"/>
        </w:numPr>
        <w:kinsoku/>
        <w:wordWrap/>
        <w:overflowPunct/>
        <w:topLinePunct w:val="0"/>
        <w:autoSpaceDE/>
        <w:autoSpaceDN/>
        <w:bidi w:val="0"/>
        <w:adjustRightInd/>
        <w:snapToGrid w:val="0"/>
        <w:spacing w:line="240" w:lineRule="auto"/>
        <w:jc w:val="both"/>
        <w:textAlignment w:val="auto"/>
        <w:rPr>
          <w:rFonts w:hint="eastAsia"/>
          <w:b w:val="0"/>
          <w:bCs w:val="0"/>
          <w:lang w:eastAsia="zh-CN"/>
        </w:rPr>
      </w:pPr>
      <w:r>
        <w:rPr>
          <w:rFonts w:hint="eastAsia"/>
          <w:b w:val="0"/>
          <w:bCs w:val="0"/>
          <w:lang w:eastAsia="zh-CN"/>
        </w:rPr>
        <w:t>3、检索过程中，经查新员与用户沟通确认检索范围和他引标准后计算工作时间并不得随意调整，否则需要适当延长工作时间并收取一定费用。</w:t>
      </w:r>
    </w:p>
    <w:p w14:paraId="36F20936">
      <w:pPr>
        <w:keepNext w:val="0"/>
        <w:keepLines w:val="0"/>
        <w:pageBreakBefore w:val="0"/>
        <w:widowControl w:val="0"/>
        <w:kinsoku/>
        <w:wordWrap/>
        <w:overflowPunct/>
        <w:topLinePunct w:val="0"/>
        <w:autoSpaceDE/>
        <w:autoSpaceDN/>
        <w:bidi w:val="0"/>
        <w:adjustRightInd/>
        <w:snapToGrid w:val="0"/>
        <w:spacing w:line="240" w:lineRule="auto"/>
        <w:textAlignment w:val="auto"/>
        <w:rPr>
          <w:rFonts w:hint="eastAsia" w:eastAsia="宋体"/>
          <w:b w:val="0"/>
          <w:bCs w:val="0"/>
          <w:lang w:eastAsia="zh-CN"/>
        </w:rPr>
      </w:pPr>
      <w:r>
        <w:rPr>
          <w:rFonts w:hint="eastAsia"/>
          <w:b w:val="0"/>
          <w:bCs w:val="0"/>
          <w:lang w:eastAsia="zh-CN"/>
        </w:rPr>
        <w:t>4、交付时间为约定最后一个工作日的16:00~18:00，具体时间可与</w:t>
      </w:r>
      <w:r>
        <w:rPr>
          <w:rFonts w:hint="eastAsia"/>
          <w:b w:val="0"/>
          <w:bCs w:val="0"/>
          <w:lang w:val="en-US" w:eastAsia="zh-CN"/>
        </w:rPr>
        <w:t>具体</w:t>
      </w:r>
      <w:r>
        <w:rPr>
          <w:rFonts w:hint="eastAsia"/>
          <w:b w:val="0"/>
          <w:bCs w:val="0"/>
          <w:lang w:eastAsia="zh-CN"/>
        </w:rPr>
        <w:t>负责老师协商。</w:t>
      </w:r>
    </w:p>
    <w:p w14:paraId="302C0050">
      <w:pPr>
        <w:tabs>
          <w:tab w:val="left" w:pos="6996"/>
        </w:tabs>
        <w:snapToGrid w:val="0"/>
        <w:rPr>
          <w:rFonts w:hint="eastAsia" w:ascii="黑体" w:hAnsi="黑体" w:eastAsia="黑体"/>
          <w:b/>
          <w:sz w:val="30"/>
          <w:szCs w:val="30"/>
        </w:rPr>
      </w:pPr>
    </w:p>
    <w:p w14:paraId="4C774D62">
      <w:pPr>
        <w:tabs>
          <w:tab w:val="left" w:pos="6996"/>
        </w:tabs>
        <w:snapToGrid w:val="0"/>
        <w:rPr>
          <w:rFonts w:hint="eastAsia" w:ascii="黑体" w:hAnsi="黑体" w:eastAsia="黑体"/>
          <w:b/>
          <w:sz w:val="30"/>
          <w:szCs w:val="30"/>
        </w:rPr>
      </w:pPr>
      <w:r>
        <w:rPr>
          <w:rFonts w:hint="eastAsia" w:ascii="黑体" w:hAnsi="黑体" w:eastAsia="黑体"/>
          <w:b/>
          <w:sz w:val="30"/>
          <w:szCs w:val="30"/>
        </w:rPr>
        <w:t>附件二</w:t>
      </w:r>
      <w:r>
        <w:rPr>
          <w:rFonts w:ascii="黑体" w:hAnsi="黑体" w:eastAsia="黑体"/>
          <w:b/>
          <w:sz w:val="30"/>
          <w:szCs w:val="30"/>
        </w:rPr>
        <w:t>：</w:t>
      </w:r>
    </w:p>
    <w:p w14:paraId="711A3188">
      <w:pPr>
        <w:widowControl/>
        <w:spacing w:line="400" w:lineRule="exact"/>
        <w:jc w:val="center"/>
        <w:rPr>
          <w:b/>
          <w:kern w:val="0"/>
          <w:sz w:val="30"/>
          <w:szCs w:val="30"/>
        </w:rPr>
      </w:pPr>
    </w:p>
    <w:p w14:paraId="430F07AF">
      <w:pPr>
        <w:widowControl/>
        <w:spacing w:line="400" w:lineRule="exact"/>
        <w:jc w:val="center"/>
        <w:rPr>
          <w:b/>
          <w:kern w:val="0"/>
          <w:sz w:val="30"/>
          <w:szCs w:val="30"/>
        </w:rPr>
      </w:pPr>
      <w:r>
        <w:rPr>
          <w:b/>
          <w:kern w:val="0"/>
          <w:sz w:val="30"/>
          <w:szCs w:val="30"/>
        </w:rPr>
        <w:t>中国科学院兰州查新咨询中心缴费和发票须知</w:t>
      </w:r>
    </w:p>
    <w:p w14:paraId="126462E3">
      <w:pPr>
        <w:widowControl/>
        <w:spacing w:line="400" w:lineRule="exact"/>
        <w:jc w:val="center"/>
        <w:rPr>
          <w:color w:val="000000"/>
          <w:kern w:val="0"/>
          <w:szCs w:val="21"/>
        </w:rPr>
      </w:pPr>
    </w:p>
    <w:p w14:paraId="38616089">
      <w:pPr>
        <w:spacing w:line="360" w:lineRule="auto"/>
        <w:rPr>
          <w:b/>
          <w:bCs/>
        </w:rPr>
      </w:pPr>
      <w:r>
        <w:rPr>
          <w:b/>
          <w:bCs/>
        </w:rPr>
        <w:t>缴费时间：</w:t>
      </w:r>
      <w:r>
        <w:t>查新报告</w:t>
      </w:r>
      <w:r>
        <w:rPr>
          <w:rFonts w:hint="eastAsia"/>
        </w:rPr>
        <w:t>缴费</w:t>
      </w:r>
      <w:r>
        <w:t>需要在报告审核前完成，具体费用请在提交委托后与查新老师联系确定</w:t>
      </w:r>
      <w:r>
        <w:rPr>
          <w:rFonts w:hint="eastAsia"/>
        </w:rPr>
        <w:t>，</w:t>
      </w:r>
      <w:r>
        <w:rPr>
          <w:rFonts w:hint="eastAsia"/>
          <w:color w:val="FF0000"/>
        </w:rPr>
        <w:t>论文收引检索费用一般在报告完成后才能计算相应费用</w:t>
      </w:r>
      <w:r>
        <w:t>。</w:t>
      </w:r>
    </w:p>
    <w:p w14:paraId="6F8097C7">
      <w:pPr>
        <w:spacing w:line="360" w:lineRule="auto"/>
        <w:rPr>
          <w:b/>
          <w:bCs/>
        </w:rPr>
      </w:pPr>
      <w:r>
        <w:rPr>
          <w:b/>
          <w:bCs/>
        </w:rPr>
        <w:t>缴费方式：</w:t>
      </w:r>
    </w:p>
    <w:p w14:paraId="6CCDB8C6">
      <w:pPr>
        <w:spacing w:line="360" w:lineRule="auto"/>
        <w:rPr>
          <w:rFonts w:hint="eastAsia"/>
        </w:rPr>
      </w:pPr>
      <w:bookmarkStart w:id="0" w:name="_Hlk71876400"/>
      <w:r>
        <w:rPr>
          <w:rFonts w:hint="eastAsia"/>
        </w:rPr>
        <w:t>1、单位公对公转账：请向贵单位财务借款至我单位对公账户，待我单位财务查收后，开具发票。</w:t>
      </w:r>
    </w:p>
    <w:p w14:paraId="6DF71D40">
      <w:pPr>
        <w:spacing w:line="360" w:lineRule="auto"/>
        <w:rPr>
          <w:rFonts w:hint="eastAsia"/>
        </w:rPr>
      </w:pPr>
      <w:r>
        <w:rPr>
          <w:rFonts w:hint="eastAsia"/>
        </w:rPr>
        <w:t>2、个人对公转账：个人将费用（通过各银行手机网银、银行柜台，不支持微信、支付宝）转账至我单位对公账户，待我单位财务查证后，开具发票。须事先咨询贵单位财务，开发票后能否报销费用至个人。</w:t>
      </w:r>
    </w:p>
    <w:p w14:paraId="2A9C88C4">
      <w:pPr>
        <w:spacing w:line="360" w:lineRule="auto"/>
        <w:rPr>
          <w:rFonts w:hint="eastAsia"/>
        </w:rPr>
      </w:pPr>
      <w:r>
        <w:rPr>
          <w:rFonts w:hint="eastAsia"/>
        </w:rPr>
        <w:t>3、公务卡扫码支付：向查新检索员索要付款二维码，使用微信或者支付宝绑定公务卡扫码支付（请仔细阅读二维码提示，此方式发票开具较慢，需要1-2个月</w:t>
      </w:r>
      <w:r>
        <w:rPr>
          <w:rFonts w:hint="eastAsia"/>
          <w:lang w:val="en-US" w:eastAsia="zh-CN"/>
        </w:rPr>
        <w:t>左右</w:t>
      </w:r>
      <w:r>
        <w:rPr>
          <w:rFonts w:hint="eastAsia"/>
        </w:rPr>
        <w:t>）</w:t>
      </w:r>
    </w:p>
    <w:p w14:paraId="6A1CFC4E">
      <w:pPr>
        <w:spacing w:line="360" w:lineRule="auto"/>
        <w:rPr>
          <w:rFonts w:hint="eastAsia"/>
        </w:rPr>
      </w:pPr>
      <w:r>
        <w:rPr>
          <w:rFonts w:hint="eastAsia"/>
        </w:rPr>
        <w:t>注：选择何种方式缴费，请提前咨询贵单位财务，开具发票后不再办理发票作废、退款等事宜。</w:t>
      </w:r>
    </w:p>
    <w:bookmarkEnd w:id="0"/>
    <w:p w14:paraId="581D114F">
      <w:pPr>
        <w:widowControl w:val="0"/>
        <w:spacing w:line="360" w:lineRule="auto"/>
        <w:jc w:val="both"/>
        <w:rPr>
          <w:rFonts w:hint="eastAsia"/>
          <w:b/>
          <w:bCs/>
          <w:kern w:val="2"/>
          <w:sz w:val="21"/>
          <w:szCs w:val="24"/>
          <w:highlight w:val="yellow"/>
          <w:lang w:val="en-US" w:eastAsia="zh-CN" w:bidi="ar-SA"/>
        </w:rPr>
      </w:pPr>
      <w:r>
        <w:rPr>
          <w:rFonts w:hint="eastAsia"/>
          <w:b/>
          <w:bCs/>
          <w:kern w:val="2"/>
          <w:sz w:val="21"/>
          <w:szCs w:val="24"/>
          <w:highlight w:val="yellow"/>
          <w:lang w:val="en-US" w:eastAsia="zh-CN" w:bidi="ar-SA"/>
        </w:rPr>
        <w:t>发票须知：</w:t>
      </w:r>
    </w:p>
    <w:p w14:paraId="17763473">
      <w:pPr>
        <w:widowControl w:val="0"/>
        <w:tabs>
          <w:tab w:val="left" w:pos="6996"/>
        </w:tabs>
        <w:snapToGrid w:val="0"/>
        <w:spacing w:line="360" w:lineRule="auto"/>
        <w:ind w:leftChars="0" w:firstLine="480" w:firstLineChars="200"/>
        <w:jc w:val="left"/>
        <w:rPr>
          <w:rFonts w:hint="eastAsia" w:ascii="宋体" w:hAnsi="宋体"/>
          <w:bCs/>
          <w:color w:val="FF0000"/>
          <w:kern w:val="2"/>
          <w:sz w:val="24"/>
          <w:szCs w:val="24"/>
          <w:lang w:val="en-US" w:eastAsia="zh-CN" w:bidi="ar-SA"/>
        </w:rPr>
      </w:pPr>
      <w:r>
        <w:rPr>
          <w:rFonts w:hint="eastAsia" w:ascii="宋体" w:hAnsi="宋体"/>
          <w:bCs/>
          <w:color w:val="FF0000"/>
          <w:kern w:val="2"/>
          <w:sz w:val="24"/>
          <w:szCs w:val="24"/>
          <w:lang w:val="en-US" w:eastAsia="zh-CN" w:bidi="ar-SA"/>
        </w:rPr>
        <w:t>1、本查新中心实行先缴费再开发票，开具数电发票，发票一般在缴费后1-2个月左右开具，请您在数电发票接收邮箱中及时查收。如遇特殊情况（假期等）会延迟更长时间，还请理解。发票严格按照查新平台委托页面提交的发票信息开具，付款之后请务必将付款凭证上传至查新平台，待核实后开具发票，不上传凭证将导致发票不能正常开具或者延后；</w:t>
      </w:r>
    </w:p>
    <w:p w14:paraId="3CCA78F3">
      <w:pPr>
        <w:widowControl w:val="0"/>
        <w:tabs>
          <w:tab w:val="left" w:pos="6996"/>
        </w:tabs>
        <w:snapToGrid w:val="0"/>
        <w:spacing w:line="360" w:lineRule="auto"/>
        <w:ind w:left="0" w:leftChars="0" w:firstLine="480" w:firstLineChars="200"/>
        <w:jc w:val="left"/>
        <w:rPr>
          <w:rFonts w:hint="eastAsia" w:ascii="宋体" w:hAnsi="宋体"/>
          <w:bCs/>
          <w:color w:val="FF0000"/>
          <w:kern w:val="2"/>
          <w:sz w:val="24"/>
          <w:szCs w:val="24"/>
          <w:lang w:val="en-US" w:eastAsia="zh-CN" w:bidi="ar-SA"/>
        </w:rPr>
      </w:pPr>
      <w:r>
        <w:rPr>
          <w:rFonts w:hint="eastAsia" w:ascii="宋体" w:hAnsi="宋体"/>
          <w:bCs/>
          <w:color w:val="FF0000"/>
          <w:kern w:val="2"/>
          <w:sz w:val="24"/>
          <w:szCs w:val="24"/>
          <w:lang w:val="en-US" w:eastAsia="zh-CN" w:bidi="ar-SA"/>
        </w:rPr>
        <w:t>2、中国科学院西北生态环境资源研究院的职工和学生用户无需开票，发票类型请选择“无需发票”，报告费用</w:t>
      </w:r>
      <w:r>
        <w:rPr>
          <w:rFonts w:hint="default" w:ascii="宋体" w:hAnsi="宋体"/>
          <w:bCs/>
          <w:color w:val="FF0000"/>
          <w:kern w:val="2"/>
          <w:sz w:val="24"/>
          <w:szCs w:val="24"/>
          <w:lang w:val="en-US" w:eastAsia="zh-CN" w:bidi="ar-SA"/>
        </w:rPr>
        <w:t>走</w:t>
      </w:r>
      <w:r>
        <w:rPr>
          <w:rFonts w:hint="eastAsia" w:ascii="宋体" w:hAnsi="宋体"/>
          <w:bCs/>
          <w:color w:val="FF0000"/>
          <w:kern w:val="2"/>
          <w:sz w:val="24"/>
          <w:szCs w:val="24"/>
          <w:lang w:val="en-US" w:eastAsia="zh-CN" w:bidi="ar-SA"/>
        </w:rPr>
        <w:t>内部转账即可。</w:t>
      </w:r>
    </w:p>
    <w:p w14:paraId="7B8305CC">
      <w:pPr>
        <w:widowControl w:val="0"/>
        <w:tabs>
          <w:tab w:val="left" w:pos="6996"/>
        </w:tabs>
        <w:snapToGrid w:val="0"/>
        <w:spacing w:line="360" w:lineRule="auto"/>
        <w:ind w:left="0" w:leftChars="0" w:firstLine="480" w:firstLineChars="200"/>
        <w:jc w:val="left"/>
        <w:rPr>
          <w:rFonts w:hint="eastAsia" w:ascii="宋体" w:hAnsi="宋体"/>
          <w:bCs/>
          <w:color w:val="FF0000"/>
          <w:kern w:val="2"/>
          <w:sz w:val="24"/>
          <w:szCs w:val="24"/>
          <w:lang w:val="en-US" w:eastAsia="zh-CN" w:bidi="ar-SA"/>
        </w:rPr>
      </w:pPr>
    </w:p>
    <w:p w14:paraId="6FFBAC07">
      <w:pPr>
        <w:widowControl w:val="0"/>
        <w:tabs>
          <w:tab w:val="left" w:pos="6996"/>
        </w:tabs>
        <w:snapToGrid w:val="0"/>
        <w:spacing w:line="360" w:lineRule="auto"/>
        <w:jc w:val="left"/>
        <w:rPr>
          <w:rFonts w:hint="eastAsia" w:ascii="宋体" w:hAnsi="宋体"/>
          <w:bCs/>
          <w:color w:val="FF0000"/>
          <w:kern w:val="2"/>
          <w:sz w:val="24"/>
          <w:szCs w:val="24"/>
          <w:highlight w:val="yellow"/>
          <w:lang w:val="en-US" w:eastAsia="zh-CN" w:bidi="ar-SA"/>
        </w:rPr>
      </w:pPr>
      <w:r>
        <w:rPr>
          <w:rFonts w:hint="eastAsia" w:ascii="宋体" w:hAnsi="宋体"/>
          <w:bCs/>
          <w:color w:val="FF0000"/>
          <w:kern w:val="2"/>
          <w:sz w:val="24"/>
          <w:szCs w:val="24"/>
          <w:highlight w:val="yellow"/>
          <w:lang w:val="en-US" w:eastAsia="zh-CN" w:bidi="ar-SA"/>
        </w:rPr>
        <w:t>单位账号信息：</w:t>
      </w:r>
    </w:p>
    <w:p w14:paraId="09767751">
      <w:pPr>
        <w:widowControl w:val="0"/>
        <w:tabs>
          <w:tab w:val="left" w:pos="6996"/>
        </w:tabs>
        <w:snapToGrid w:val="0"/>
        <w:spacing w:line="360" w:lineRule="auto"/>
        <w:ind w:leftChars="0" w:firstLine="480" w:firstLineChars="200"/>
        <w:jc w:val="left"/>
        <w:rPr>
          <w:rFonts w:hint="eastAsia" w:ascii="宋体" w:hAnsi="宋体"/>
          <w:bCs/>
          <w:color w:val="FF0000"/>
          <w:kern w:val="2"/>
          <w:sz w:val="24"/>
          <w:szCs w:val="24"/>
          <w:lang w:val="en-US" w:eastAsia="zh-CN" w:bidi="ar-SA"/>
        </w:rPr>
      </w:pPr>
      <w:r>
        <w:rPr>
          <w:rFonts w:hint="eastAsia" w:ascii="宋体" w:hAnsi="宋体"/>
          <w:bCs/>
          <w:color w:val="FF0000"/>
          <w:kern w:val="2"/>
          <w:sz w:val="24"/>
          <w:szCs w:val="24"/>
          <w:lang w:val="en-US" w:eastAsia="zh-CN" w:bidi="ar-SA"/>
        </w:rPr>
        <w:t xml:space="preserve">账户名称：中国科学院西北生态环境资源研究院 </w:t>
      </w:r>
    </w:p>
    <w:p w14:paraId="40A572EA">
      <w:pPr>
        <w:widowControl w:val="0"/>
        <w:tabs>
          <w:tab w:val="left" w:pos="6996"/>
        </w:tabs>
        <w:snapToGrid w:val="0"/>
        <w:spacing w:line="360" w:lineRule="auto"/>
        <w:ind w:leftChars="0" w:firstLine="480" w:firstLineChars="200"/>
        <w:jc w:val="left"/>
        <w:rPr>
          <w:rFonts w:hint="eastAsia" w:ascii="宋体" w:hAnsi="宋体"/>
          <w:bCs/>
          <w:color w:val="FF0000"/>
          <w:kern w:val="2"/>
          <w:sz w:val="24"/>
          <w:szCs w:val="24"/>
          <w:lang w:val="en-US" w:eastAsia="zh-CN" w:bidi="ar-SA"/>
        </w:rPr>
      </w:pPr>
      <w:r>
        <w:rPr>
          <w:rFonts w:hint="eastAsia" w:ascii="宋体" w:hAnsi="宋体"/>
          <w:bCs/>
          <w:color w:val="FF0000"/>
          <w:kern w:val="2"/>
          <w:sz w:val="24"/>
          <w:szCs w:val="24"/>
          <w:lang w:val="en-US" w:eastAsia="zh-CN" w:bidi="ar-SA"/>
        </w:rPr>
        <w:t xml:space="preserve">账号：2703000909200066953 </w:t>
      </w:r>
    </w:p>
    <w:p w14:paraId="5C25D97A">
      <w:pPr>
        <w:widowControl w:val="0"/>
        <w:tabs>
          <w:tab w:val="left" w:pos="6996"/>
        </w:tabs>
        <w:snapToGrid w:val="0"/>
        <w:spacing w:line="360" w:lineRule="auto"/>
        <w:ind w:leftChars="0" w:firstLine="480" w:firstLineChars="200"/>
        <w:jc w:val="left"/>
        <w:rPr>
          <w:rFonts w:hint="eastAsia" w:ascii="宋体" w:hAnsi="宋体"/>
          <w:bCs/>
          <w:color w:val="FF0000"/>
          <w:kern w:val="2"/>
          <w:sz w:val="24"/>
          <w:szCs w:val="24"/>
          <w:lang w:val="en-US" w:eastAsia="zh-CN" w:bidi="ar-SA"/>
        </w:rPr>
      </w:pPr>
      <w:r>
        <w:rPr>
          <w:rFonts w:hint="eastAsia" w:ascii="宋体" w:hAnsi="宋体"/>
          <w:bCs/>
          <w:color w:val="FF0000"/>
          <w:kern w:val="2"/>
          <w:sz w:val="24"/>
          <w:szCs w:val="24"/>
          <w:lang w:val="en-US" w:eastAsia="zh-CN" w:bidi="ar-SA"/>
        </w:rPr>
        <w:t xml:space="preserve">开户银行名称：中国工商银行股份有限公司兰州开发区支行 </w:t>
      </w:r>
    </w:p>
    <w:p w14:paraId="79FF4A35">
      <w:pPr>
        <w:widowControl w:val="0"/>
        <w:tabs>
          <w:tab w:val="left" w:pos="6996"/>
        </w:tabs>
        <w:snapToGrid w:val="0"/>
        <w:spacing w:line="360" w:lineRule="auto"/>
        <w:ind w:leftChars="0" w:firstLine="480" w:firstLineChars="200"/>
        <w:jc w:val="left"/>
        <w:rPr>
          <w:rFonts w:hint="eastAsia" w:ascii="宋体" w:hAnsi="宋体"/>
          <w:bCs/>
          <w:color w:val="FF0000"/>
          <w:kern w:val="2"/>
          <w:sz w:val="24"/>
          <w:szCs w:val="24"/>
          <w:lang w:val="en-US" w:eastAsia="zh-CN" w:bidi="ar-SA"/>
        </w:rPr>
      </w:pPr>
      <w:r>
        <w:rPr>
          <w:rFonts w:hint="eastAsia" w:ascii="宋体" w:hAnsi="宋体"/>
          <w:bCs/>
          <w:color w:val="FF0000"/>
          <w:kern w:val="2"/>
          <w:sz w:val="24"/>
          <w:szCs w:val="24"/>
          <w:lang w:val="en-US" w:eastAsia="zh-CN" w:bidi="ar-SA"/>
        </w:rPr>
        <w:t>开户银行代码：102821000097</w:t>
      </w:r>
    </w:p>
    <w:sectPr>
      <w:pgSz w:w="11906" w:h="16838"/>
      <w:pgMar w:top="1191" w:right="1191" w:bottom="1191" w:left="119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179D75"/>
    <w:multiLevelType w:val="singleLevel"/>
    <w:tmpl w:val="4E179D75"/>
    <w:lvl w:ilvl="0" w:tentative="0">
      <w:start w:val="6"/>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M4NDk5Nzk3MmNlYzJlODg0YjMwYzFiNDg2NGI1YTMifQ=="/>
  </w:docVars>
  <w:rsids>
    <w:rsidRoot w:val="00DE2A1A"/>
    <w:rsid w:val="0000427F"/>
    <w:rsid w:val="00015D9A"/>
    <w:rsid w:val="00037C26"/>
    <w:rsid w:val="00095AA5"/>
    <w:rsid w:val="000A1DFE"/>
    <w:rsid w:val="000D12D8"/>
    <w:rsid w:val="000E6650"/>
    <w:rsid w:val="000E7912"/>
    <w:rsid w:val="00123EE2"/>
    <w:rsid w:val="00137FC4"/>
    <w:rsid w:val="001C60AF"/>
    <w:rsid w:val="001D5AD5"/>
    <w:rsid w:val="0020179B"/>
    <w:rsid w:val="00211FEF"/>
    <w:rsid w:val="00227DF2"/>
    <w:rsid w:val="002A69AE"/>
    <w:rsid w:val="002E09A6"/>
    <w:rsid w:val="0030761F"/>
    <w:rsid w:val="00327B0A"/>
    <w:rsid w:val="0033352F"/>
    <w:rsid w:val="00362216"/>
    <w:rsid w:val="003635BE"/>
    <w:rsid w:val="00383B83"/>
    <w:rsid w:val="003963D1"/>
    <w:rsid w:val="003D1726"/>
    <w:rsid w:val="00461451"/>
    <w:rsid w:val="004972C3"/>
    <w:rsid w:val="004B22A0"/>
    <w:rsid w:val="004B619E"/>
    <w:rsid w:val="004D42DA"/>
    <w:rsid w:val="005014E0"/>
    <w:rsid w:val="00501E75"/>
    <w:rsid w:val="005253A3"/>
    <w:rsid w:val="00532EFE"/>
    <w:rsid w:val="00551095"/>
    <w:rsid w:val="005605F9"/>
    <w:rsid w:val="00567BF1"/>
    <w:rsid w:val="0058425D"/>
    <w:rsid w:val="005953AD"/>
    <w:rsid w:val="005A2F88"/>
    <w:rsid w:val="005D035D"/>
    <w:rsid w:val="005D3C63"/>
    <w:rsid w:val="005E3020"/>
    <w:rsid w:val="005E4B52"/>
    <w:rsid w:val="0061108A"/>
    <w:rsid w:val="00611ECA"/>
    <w:rsid w:val="0061283D"/>
    <w:rsid w:val="00614863"/>
    <w:rsid w:val="00615956"/>
    <w:rsid w:val="006C5F9C"/>
    <w:rsid w:val="006D13EC"/>
    <w:rsid w:val="00723BC6"/>
    <w:rsid w:val="00740448"/>
    <w:rsid w:val="00755D0D"/>
    <w:rsid w:val="00774A57"/>
    <w:rsid w:val="007C669B"/>
    <w:rsid w:val="007E2C7F"/>
    <w:rsid w:val="007E4568"/>
    <w:rsid w:val="008247E7"/>
    <w:rsid w:val="008615D8"/>
    <w:rsid w:val="008E428B"/>
    <w:rsid w:val="009303DC"/>
    <w:rsid w:val="00943723"/>
    <w:rsid w:val="009541DD"/>
    <w:rsid w:val="00957245"/>
    <w:rsid w:val="00977798"/>
    <w:rsid w:val="009B0ABE"/>
    <w:rsid w:val="009D6DEF"/>
    <w:rsid w:val="00A10F69"/>
    <w:rsid w:val="00A33860"/>
    <w:rsid w:val="00A42733"/>
    <w:rsid w:val="00A44B59"/>
    <w:rsid w:val="00A50E3C"/>
    <w:rsid w:val="00A57336"/>
    <w:rsid w:val="00B1464D"/>
    <w:rsid w:val="00B250A1"/>
    <w:rsid w:val="00B74FFB"/>
    <w:rsid w:val="00B81039"/>
    <w:rsid w:val="00B82361"/>
    <w:rsid w:val="00B910E4"/>
    <w:rsid w:val="00BF4204"/>
    <w:rsid w:val="00C02D4C"/>
    <w:rsid w:val="00C205CA"/>
    <w:rsid w:val="00C64B46"/>
    <w:rsid w:val="00C735E9"/>
    <w:rsid w:val="00C85F71"/>
    <w:rsid w:val="00CA2D1B"/>
    <w:rsid w:val="00CB76FF"/>
    <w:rsid w:val="00CD7BFD"/>
    <w:rsid w:val="00D0116D"/>
    <w:rsid w:val="00D10620"/>
    <w:rsid w:val="00D20676"/>
    <w:rsid w:val="00D95CA2"/>
    <w:rsid w:val="00DC685F"/>
    <w:rsid w:val="00DE2A1A"/>
    <w:rsid w:val="00DF4F14"/>
    <w:rsid w:val="00DF6ADD"/>
    <w:rsid w:val="00E1232D"/>
    <w:rsid w:val="00E30CD1"/>
    <w:rsid w:val="00E33C92"/>
    <w:rsid w:val="00E57995"/>
    <w:rsid w:val="00E95F8D"/>
    <w:rsid w:val="00EA5F21"/>
    <w:rsid w:val="00EC3E36"/>
    <w:rsid w:val="00F06CE7"/>
    <w:rsid w:val="00F06D80"/>
    <w:rsid w:val="00F20A62"/>
    <w:rsid w:val="00F37B79"/>
    <w:rsid w:val="00F572F1"/>
    <w:rsid w:val="00F67B5B"/>
    <w:rsid w:val="00FA0C12"/>
    <w:rsid w:val="00FB3912"/>
    <w:rsid w:val="00FD45A6"/>
    <w:rsid w:val="06073581"/>
    <w:rsid w:val="0971149B"/>
    <w:rsid w:val="0BF9275E"/>
    <w:rsid w:val="0CAB0E24"/>
    <w:rsid w:val="0DCD0ADC"/>
    <w:rsid w:val="10711F01"/>
    <w:rsid w:val="107434A8"/>
    <w:rsid w:val="107674E1"/>
    <w:rsid w:val="122F5EA4"/>
    <w:rsid w:val="1B1A0F49"/>
    <w:rsid w:val="1B88671B"/>
    <w:rsid w:val="1EF66F55"/>
    <w:rsid w:val="2A625C8E"/>
    <w:rsid w:val="32FF379D"/>
    <w:rsid w:val="340159EB"/>
    <w:rsid w:val="34826982"/>
    <w:rsid w:val="354B60DC"/>
    <w:rsid w:val="3AE22251"/>
    <w:rsid w:val="40C971C5"/>
    <w:rsid w:val="45F95F14"/>
    <w:rsid w:val="64494846"/>
    <w:rsid w:val="67092797"/>
    <w:rsid w:val="6B2276A7"/>
    <w:rsid w:val="718219C6"/>
    <w:rsid w:val="722E3D64"/>
    <w:rsid w:val="7D4939C9"/>
    <w:rsid w:val="7D742EC0"/>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5"/>
    <w:basedOn w:val="1"/>
    <w:link w:val="11"/>
    <w:qFormat/>
    <w:uiPriority w:val="9"/>
    <w:pPr>
      <w:widowControl/>
      <w:spacing w:before="100" w:beforeAutospacing="1" w:after="100" w:afterAutospacing="1"/>
      <w:jc w:val="left"/>
      <w:outlineLvl w:val="4"/>
    </w:pPr>
    <w:rPr>
      <w:rFonts w:ascii="宋体" w:hAnsi="宋体" w:cs="宋体"/>
      <w:b/>
      <w:bCs/>
      <w:kern w:val="0"/>
      <w:sz w:val="20"/>
      <w:szCs w:val="20"/>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alloon Text"/>
    <w:basedOn w:val="1"/>
    <w:link w:val="12"/>
    <w:qFormat/>
    <w:uiPriority w:val="0"/>
    <w:rPr>
      <w:sz w:val="18"/>
      <w:szCs w:val="18"/>
    </w:rPr>
  </w:style>
  <w:style w:type="paragraph" w:styleId="4">
    <w:name w:val="footer"/>
    <w:basedOn w:val="1"/>
    <w:link w:val="13"/>
    <w:qFormat/>
    <w:uiPriority w:val="0"/>
    <w:pPr>
      <w:tabs>
        <w:tab w:val="center" w:pos="4153"/>
        <w:tab w:val="right" w:pos="8306"/>
      </w:tabs>
      <w:snapToGrid w:val="0"/>
      <w:jc w:val="left"/>
    </w:pPr>
    <w:rPr>
      <w:sz w:val="18"/>
      <w:szCs w:val="18"/>
    </w:rPr>
  </w:style>
  <w:style w:type="paragraph" w:styleId="5">
    <w:name w:val="header"/>
    <w:basedOn w:val="1"/>
    <w:link w:val="14"/>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0">
    <w:name w:val="Hyperlink"/>
    <w:qFormat/>
    <w:uiPriority w:val="0"/>
    <w:rPr>
      <w:color w:val="0000FF"/>
      <w:u w:val="single"/>
    </w:rPr>
  </w:style>
  <w:style w:type="character" w:customStyle="1" w:styleId="11">
    <w:name w:val="标题 5 字符"/>
    <w:link w:val="2"/>
    <w:qFormat/>
    <w:uiPriority w:val="9"/>
    <w:rPr>
      <w:rFonts w:ascii="宋体" w:hAnsi="宋体" w:cs="宋体"/>
      <w:b/>
      <w:bCs/>
    </w:rPr>
  </w:style>
  <w:style w:type="character" w:customStyle="1" w:styleId="12">
    <w:name w:val="批注框文本 字符"/>
    <w:link w:val="3"/>
    <w:qFormat/>
    <w:uiPriority w:val="0"/>
    <w:rPr>
      <w:kern w:val="2"/>
      <w:sz w:val="18"/>
      <w:szCs w:val="18"/>
    </w:rPr>
  </w:style>
  <w:style w:type="character" w:customStyle="1" w:styleId="13">
    <w:name w:val="页脚 字符"/>
    <w:link w:val="4"/>
    <w:qFormat/>
    <w:uiPriority w:val="0"/>
    <w:rPr>
      <w:kern w:val="2"/>
      <w:sz w:val="18"/>
      <w:szCs w:val="18"/>
    </w:rPr>
  </w:style>
  <w:style w:type="character" w:customStyle="1" w:styleId="14">
    <w:name w:val="页眉 字符"/>
    <w:link w:val="5"/>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 China</Company>
  <Pages>3</Pages>
  <Words>2020</Words>
  <Characters>2215</Characters>
  <Lines>14</Lines>
  <Paragraphs>4</Paragraphs>
  <TotalTime>12</TotalTime>
  <ScaleCrop>false</ScaleCrop>
  <LinksUpToDate>false</LinksUpToDate>
  <CharactersWithSpaces>2236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2018-08-24T10:51:00Z</dcterms:created>
  <dc:creator>hp</dc:creator>
  <cp:lastModifiedBy>lujl</cp:lastModifiedBy>
  <dcterms:modified xsi:type="dcterms:W3CDTF">2026-01-06T07:08:15Z</dcterms:modified>
  <dc:title>中国科学院兰州查新咨询中心论文收录引用检索委托单</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78DAE2A714CE4054A308821BB91F2D0A_13</vt:lpwstr>
  </property>
  <property fmtid="{D5CDD505-2E9C-101B-9397-08002B2CF9AE}" pid="4" name="commondata">
    <vt:lpwstr>eyJoZGlkIjoiZWM4NDk5Nzk3MmNlYzJlODg0YjMwYzFiNDg2NGI1YTMifQ==</vt:lpwstr>
  </property>
  <property fmtid="{D5CDD505-2E9C-101B-9397-08002B2CF9AE}" pid="5" name="KSOTemplateDocerSaveRecord">
    <vt:lpwstr>eyJoZGlkIjoiYjBmNzY4YTliOWVhNjcyMDY4OGFkOTM1NDNkM2FkYTAiLCJ1c2VySWQiOiI3MDYzMjE0MDkifQ==</vt:lpwstr>
  </property>
</Properties>
</file>